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ECC" w:rsidRPr="00DA2ECC" w:rsidRDefault="00833C68" w:rsidP="00DA2ECC">
      <w:pPr>
        <w:spacing w:before="120" w:after="120" w:line="360" w:lineRule="auto"/>
        <w:ind w:left="708" w:firstLine="708"/>
        <w:rPr>
          <w:rFonts w:ascii="Arial" w:hAnsi="Arial" w:cs="Arial"/>
          <w:b/>
          <w:bCs/>
          <w:color w:val="4F6228" w:themeColor="accent3" w:themeShade="80"/>
        </w:rPr>
      </w:pPr>
      <w:bookmarkStart w:id="0" w:name="_GoBack"/>
      <w:bookmarkEnd w:id="0"/>
      <w:r w:rsidRPr="00DA2ECC">
        <w:rPr>
          <w:rFonts w:ascii="Arial" w:hAnsi="Arial" w:cs="Arial"/>
          <w:b/>
          <w:noProof/>
        </w:rPr>
        <w:drawing>
          <wp:anchor distT="0" distB="0" distL="114300" distR="114300" simplePos="0" relativeHeight="251658240" behindDoc="0" locked="0" layoutInCell="1" allowOverlap="1" wp14:anchorId="7E64D4F1" wp14:editId="7D4A14B6">
            <wp:simplePos x="0" y="0"/>
            <wp:positionH relativeFrom="column">
              <wp:posOffset>-58141</wp:posOffset>
            </wp:positionH>
            <wp:positionV relativeFrom="paragraph">
              <wp:posOffset>226141</wp:posOffset>
            </wp:positionV>
            <wp:extent cx="1035968" cy="485480"/>
            <wp:effectExtent l="0" t="0" r="0" b="0"/>
            <wp:wrapNone/>
            <wp:docPr id="1026" name="Picture 2" descr="http://www.ivig.coppe.ufrj.br/files/logo_ivig_c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ivig.coppe.ufrj.br/files/logo_ivig_co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0131" cy="487431"/>
                    </a:xfrm>
                    <a:prstGeom prst="rect">
                      <a:avLst/>
                    </a:prstGeom>
                    <a:noFill/>
                    <a:extLst/>
                  </pic:spPr>
                </pic:pic>
              </a:graphicData>
            </a:graphic>
            <wp14:sizeRelH relativeFrom="page">
              <wp14:pctWidth>0</wp14:pctWidth>
            </wp14:sizeRelH>
            <wp14:sizeRelV relativeFrom="page">
              <wp14:pctHeight>0</wp14:pctHeight>
            </wp14:sizeRelV>
          </wp:anchor>
        </w:drawing>
      </w:r>
    </w:p>
    <w:p w:rsidR="00833C68" w:rsidRPr="00DA2ECC" w:rsidRDefault="00DA2ECC" w:rsidP="00DA2ECC">
      <w:pPr>
        <w:spacing w:before="120" w:after="120" w:line="360" w:lineRule="auto"/>
        <w:ind w:left="708" w:firstLine="708"/>
        <w:rPr>
          <w:rFonts w:ascii="Arial" w:hAnsi="Arial" w:cs="Arial"/>
          <w:b/>
          <w:bCs/>
          <w:color w:val="4F6228" w:themeColor="accent3" w:themeShade="80"/>
          <w:sz w:val="40"/>
          <w:szCs w:val="40"/>
        </w:rPr>
      </w:pPr>
      <w:r>
        <w:rPr>
          <w:rFonts w:ascii="Arial" w:hAnsi="Arial" w:cs="Arial"/>
          <w:b/>
          <w:bCs/>
          <w:color w:val="4F6228" w:themeColor="accent3" w:themeShade="80"/>
          <w:sz w:val="32"/>
          <w:szCs w:val="32"/>
        </w:rPr>
        <w:t xml:space="preserve">   </w:t>
      </w:r>
      <w:r w:rsidR="00833C68" w:rsidRPr="00DA2ECC">
        <w:rPr>
          <w:rFonts w:ascii="Arial" w:hAnsi="Arial" w:cs="Arial"/>
          <w:b/>
          <w:bCs/>
          <w:color w:val="4F6228" w:themeColor="accent3" w:themeShade="80"/>
          <w:sz w:val="32"/>
          <w:szCs w:val="32"/>
        </w:rPr>
        <w:t>Instituto Virtual Internacional de Mudanças Globais - IVIG</w:t>
      </w:r>
    </w:p>
    <w:p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t xml:space="preserve">FORMULÁRIO DE </w:t>
      </w:r>
      <w:r>
        <w:rPr>
          <w:rFonts w:ascii="Arial" w:hAnsi="Arial" w:cs="Arial"/>
          <w:b/>
          <w:sz w:val="28"/>
        </w:rPr>
        <w:t>COMENTÁRIOS E SUGESTÕES</w:t>
      </w:r>
    </w:p>
    <w:p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AB3B7A" w:rsidRPr="00AB3B7A">
        <w:rPr>
          <w:rFonts w:cs="Arial"/>
        </w:rPr>
        <w:t>25</w:t>
      </w:r>
      <w:r w:rsidRPr="00AB3B7A">
        <w:rPr>
          <w:rFonts w:cs="Arial"/>
        </w:rPr>
        <w:t>/201</w:t>
      </w:r>
      <w:r w:rsidR="002A1E27" w:rsidRPr="00AB3B7A">
        <w:rPr>
          <w:rFonts w:cs="Arial"/>
        </w:rPr>
        <w:t>7</w:t>
      </w:r>
    </w:p>
    <w:p w:rsidR="006E3142" w:rsidRDefault="006E3142" w:rsidP="00842086">
      <w:pPr>
        <w:pStyle w:val="Legenda"/>
        <w:jc w:val="both"/>
        <w:rPr>
          <w:rFonts w:cs="Arial"/>
          <w:b/>
          <w:szCs w:val="24"/>
        </w:rPr>
      </w:pPr>
    </w:p>
    <w:p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6"/>
        <w:gridCol w:w="1523"/>
        <w:gridCol w:w="1523"/>
        <w:gridCol w:w="4950"/>
        <w:gridCol w:w="4644"/>
      </w:tblGrid>
      <w:tr w:rsidR="006E3142" w:rsidRPr="00932C2C" w:rsidTr="002442E2">
        <w:trPr>
          <w:trHeight w:val="850"/>
          <w:tblHeader/>
        </w:trPr>
        <w:tc>
          <w:tcPr>
            <w:tcW w:w="542" w:type="pct"/>
            <w:tcBorders>
              <w:bottom w:val="dashSmallGap" w:sz="4" w:space="0" w:color="BFBFBF" w:themeColor="background1" w:themeShade="BF"/>
            </w:tcBorders>
            <w:vAlign w:val="center"/>
          </w:tcPr>
          <w:p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Documento</w:t>
            </w:r>
          </w:p>
        </w:tc>
        <w:tc>
          <w:tcPr>
            <w:tcW w:w="537" w:type="pct"/>
            <w:tcBorders>
              <w:bottom w:val="dashSmallGap" w:sz="4" w:space="0" w:color="BFBFBF" w:themeColor="background1" w:themeShade="BF"/>
            </w:tcBorders>
            <w:vAlign w:val="center"/>
          </w:tcPr>
          <w:p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Natureza da sugestão</w:t>
            </w:r>
          </w:p>
        </w:tc>
        <w:tc>
          <w:tcPr>
            <w:tcW w:w="537" w:type="pct"/>
            <w:tcBorders>
              <w:bottom w:val="dashSmallGap" w:sz="4" w:space="0" w:color="BFBFBF" w:themeColor="background1" w:themeShade="BF"/>
            </w:tcBorders>
            <w:vAlign w:val="center"/>
          </w:tcPr>
          <w:p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Item</w:t>
            </w:r>
          </w:p>
        </w:tc>
        <w:tc>
          <w:tcPr>
            <w:tcW w:w="1746" w:type="pct"/>
            <w:tcBorders>
              <w:bottom w:val="dashSmallGap" w:sz="4" w:space="0" w:color="BFBFBF" w:themeColor="background1" w:themeShade="BF"/>
            </w:tcBorders>
            <w:vAlign w:val="center"/>
          </w:tcPr>
          <w:p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Proposta de alteração</w:t>
            </w:r>
          </w:p>
        </w:tc>
        <w:tc>
          <w:tcPr>
            <w:tcW w:w="1638" w:type="pct"/>
            <w:tcBorders>
              <w:bottom w:val="dashSmallGap" w:sz="4" w:space="0" w:color="BFBFBF" w:themeColor="background1" w:themeShade="BF"/>
            </w:tcBorders>
            <w:vAlign w:val="center"/>
          </w:tcPr>
          <w:p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Justificativa</w:t>
            </w:r>
          </w:p>
        </w:tc>
      </w:tr>
      <w:tr w:rsidR="006E3142" w:rsidRPr="00932C2C" w:rsidTr="002442E2">
        <w:trPr>
          <w:trHeight w:val="2268"/>
        </w:trPr>
        <w:tc>
          <w:tcPr>
            <w:tcW w:w="542" w:type="pct"/>
            <w:vAlign w:val="center"/>
          </w:tcPr>
          <w:p w:rsidR="006E3142" w:rsidRPr="000C0894" w:rsidRDefault="002442E2" w:rsidP="000C0894">
            <w:pPr>
              <w:pStyle w:val="Legenda"/>
              <w:jc w:val="center"/>
              <w:rPr>
                <w:rFonts w:cs="Arial"/>
                <w:color w:val="000000" w:themeColor="text1"/>
                <w:szCs w:val="24"/>
              </w:rPr>
            </w:pPr>
            <w:proofErr w:type="spellStart"/>
            <w:r>
              <w:rPr>
                <w:rFonts w:cs="Arial"/>
                <w:color w:val="000000" w:themeColor="text1"/>
                <w:szCs w:val="24"/>
              </w:rPr>
              <w:t>Pré</w:t>
            </w:r>
            <w:proofErr w:type="spellEnd"/>
            <w:r>
              <w:rPr>
                <w:rFonts w:cs="Arial"/>
                <w:color w:val="000000" w:themeColor="text1"/>
                <w:szCs w:val="24"/>
              </w:rPr>
              <w:t>-Edital</w:t>
            </w:r>
          </w:p>
        </w:tc>
        <w:tc>
          <w:tcPr>
            <w:tcW w:w="537" w:type="pct"/>
            <w:vAlign w:val="center"/>
          </w:tcPr>
          <w:p w:rsidR="006E3142" w:rsidRPr="000C0894" w:rsidRDefault="00E34CD2" w:rsidP="000C0894">
            <w:pPr>
              <w:pStyle w:val="Legenda"/>
              <w:jc w:val="center"/>
              <w:rPr>
                <w:rFonts w:cs="Arial"/>
                <w:color w:val="000000" w:themeColor="text1"/>
                <w:szCs w:val="24"/>
              </w:rPr>
            </w:pPr>
            <w:r>
              <w:rPr>
                <w:rFonts w:cs="Arial"/>
                <w:color w:val="000000" w:themeColor="text1"/>
                <w:szCs w:val="24"/>
              </w:rPr>
              <w:t>Exclusão</w:t>
            </w:r>
          </w:p>
        </w:tc>
        <w:tc>
          <w:tcPr>
            <w:tcW w:w="537" w:type="pct"/>
            <w:vAlign w:val="center"/>
          </w:tcPr>
          <w:p w:rsidR="006E3142" w:rsidRPr="000C0894" w:rsidRDefault="00E34CD2" w:rsidP="000C0894">
            <w:pPr>
              <w:pStyle w:val="Legenda"/>
              <w:jc w:val="center"/>
              <w:rPr>
                <w:rFonts w:cs="Arial"/>
                <w:color w:val="000000" w:themeColor="text1"/>
                <w:szCs w:val="24"/>
              </w:rPr>
            </w:pPr>
            <w:r>
              <w:rPr>
                <w:rFonts w:cs="Arial"/>
                <w:color w:val="000000" w:themeColor="text1"/>
                <w:szCs w:val="24"/>
              </w:rPr>
              <w:t>5</w:t>
            </w:r>
          </w:p>
        </w:tc>
        <w:tc>
          <w:tcPr>
            <w:tcW w:w="1746" w:type="pct"/>
            <w:vAlign w:val="center"/>
          </w:tcPr>
          <w:p w:rsidR="006E3142" w:rsidRPr="000C0894" w:rsidRDefault="00E34CD2" w:rsidP="00595F50">
            <w:pPr>
              <w:pStyle w:val="Legenda"/>
              <w:rPr>
                <w:rFonts w:cs="Arial"/>
                <w:color w:val="000000" w:themeColor="text1"/>
                <w:szCs w:val="24"/>
              </w:rPr>
            </w:pPr>
            <w:r>
              <w:rPr>
                <w:rFonts w:cs="Arial"/>
                <w:color w:val="000000" w:themeColor="text1"/>
                <w:szCs w:val="24"/>
              </w:rPr>
              <w:t xml:space="preserve">Suprimir a </w:t>
            </w:r>
            <w:r w:rsidR="00595F50">
              <w:rPr>
                <w:rFonts w:cs="Arial"/>
                <w:color w:val="000000" w:themeColor="text1"/>
                <w:szCs w:val="24"/>
              </w:rPr>
              <w:t>obrigatoriedade</w:t>
            </w:r>
            <w:r>
              <w:rPr>
                <w:rFonts w:cs="Arial"/>
                <w:color w:val="000000" w:themeColor="text1"/>
                <w:szCs w:val="24"/>
              </w:rPr>
              <w:t xml:space="preserve"> de Garantia de Oferta para agentes (concessionários e demais contratados) com contratos de E&amp;P vigentes com a União</w:t>
            </w:r>
            <w:r w:rsidR="00595F50">
              <w:rPr>
                <w:rFonts w:cs="Arial"/>
                <w:color w:val="000000" w:themeColor="text1"/>
                <w:szCs w:val="24"/>
              </w:rPr>
              <w:t>, quando se mostrarem desnecessários</w:t>
            </w:r>
            <w:r>
              <w:rPr>
                <w:rFonts w:cs="Arial"/>
                <w:color w:val="000000" w:themeColor="text1"/>
                <w:szCs w:val="24"/>
              </w:rPr>
              <w:t>.</w:t>
            </w:r>
          </w:p>
        </w:tc>
        <w:tc>
          <w:tcPr>
            <w:tcW w:w="1638" w:type="pct"/>
            <w:vAlign w:val="center"/>
          </w:tcPr>
          <w:p w:rsidR="00872785" w:rsidRDefault="00E34CD2" w:rsidP="006071B8">
            <w:pPr>
              <w:pStyle w:val="Legenda"/>
              <w:rPr>
                <w:rFonts w:cs="Arial"/>
                <w:color w:val="000000" w:themeColor="text1"/>
                <w:szCs w:val="24"/>
              </w:rPr>
            </w:pPr>
            <w:r>
              <w:rPr>
                <w:rFonts w:cs="Arial"/>
                <w:color w:val="000000" w:themeColor="text1"/>
                <w:szCs w:val="24"/>
              </w:rPr>
              <w:t xml:space="preserve">As Garantias Financeiras (GF) tem o objetivo de salvaguardar a União de: </w:t>
            </w:r>
            <w:r w:rsidRPr="00E34CD2">
              <w:rPr>
                <w:rFonts w:cs="Arial"/>
                <w:color w:val="000000" w:themeColor="text1"/>
                <w:szCs w:val="24"/>
              </w:rPr>
              <w:t>Insolvência;</w:t>
            </w:r>
            <w:r>
              <w:rPr>
                <w:rFonts w:cs="Arial"/>
                <w:color w:val="000000" w:themeColor="text1"/>
                <w:szCs w:val="24"/>
              </w:rPr>
              <w:t xml:space="preserve"> mudanças de </w:t>
            </w:r>
            <w:r w:rsidRPr="00E34CD2">
              <w:rPr>
                <w:rFonts w:cs="Arial"/>
                <w:color w:val="000000" w:themeColor="text1"/>
                <w:szCs w:val="24"/>
              </w:rPr>
              <w:t>Mercado;</w:t>
            </w:r>
            <w:r>
              <w:rPr>
                <w:rFonts w:cs="Arial"/>
                <w:color w:val="000000" w:themeColor="text1"/>
                <w:szCs w:val="24"/>
              </w:rPr>
              <w:t xml:space="preserve"> </w:t>
            </w:r>
            <w:r w:rsidRPr="00E34CD2">
              <w:rPr>
                <w:rFonts w:cs="Arial"/>
                <w:color w:val="000000" w:themeColor="text1"/>
                <w:szCs w:val="24"/>
              </w:rPr>
              <w:t>Indisponibilidade de recursos;</w:t>
            </w:r>
            <w:r>
              <w:rPr>
                <w:rFonts w:cs="Arial"/>
                <w:color w:val="000000" w:themeColor="text1"/>
                <w:szCs w:val="24"/>
              </w:rPr>
              <w:t xml:space="preserve"> </w:t>
            </w:r>
            <w:r w:rsidRPr="00E34CD2">
              <w:rPr>
                <w:rFonts w:cs="Arial"/>
                <w:color w:val="000000" w:themeColor="text1"/>
                <w:szCs w:val="24"/>
              </w:rPr>
              <w:t>Negligência</w:t>
            </w:r>
            <w:r>
              <w:rPr>
                <w:rFonts w:cs="Arial"/>
                <w:color w:val="000000" w:themeColor="text1"/>
                <w:szCs w:val="24"/>
              </w:rPr>
              <w:t xml:space="preserve">; etc. </w:t>
            </w:r>
            <w:r w:rsidR="00872785">
              <w:rPr>
                <w:rFonts w:cs="Arial"/>
                <w:color w:val="000000" w:themeColor="text1"/>
                <w:szCs w:val="24"/>
              </w:rPr>
              <w:t>Parece-nos</w:t>
            </w:r>
            <w:r>
              <w:rPr>
                <w:rFonts w:cs="Arial"/>
                <w:color w:val="000000" w:themeColor="text1"/>
                <w:szCs w:val="24"/>
              </w:rPr>
              <w:t xml:space="preserve"> inadequado a exigência de GF para agentes com contratos vigentes com a União, pois bastaria verificar as condições técnicas, econômicas e jurídicas. Isto já é feito no acompanhamento dos contratos e na qualificação da empresa. </w:t>
            </w:r>
          </w:p>
          <w:p w:rsidR="00872785" w:rsidRDefault="00872785" w:rsidP="006071B8">
            <w:pPr>
              <w:pStyle w:val="Legenda"/>
              <w:rPr>
                <w:rFonts w:cs="Arial"/>
                <w:color w:val="000000" w:themeColor="text1"/>
                <w:szCs w:val="24"/>
              </w:rPr>
            </w:pPr>
          </w:p>
          <w:p w:rsidR="006E3142" w:rsidRDefault="00E34CD2" w:rsidP="006071B8">
            <w:pPr>
              <w:pStyle w:val="Legenda"/>
              <w:rPr>
                <w:rFonts w:cs="Arial"/>
                <w:color w:val="000000" w:themeColor="text1"/>
                <w:szCs w:val="24"/>
              </w:rPr>
            </w:pPr>
            <w:r>
              <w:rPr>
                <w:rFonts w:cs="Arial"/>
                <w:color w:val="000000" w:themeColor="text1"/>
                <w:szCs w:val="24"/>
              </w:rPr>
              <w:t>No cenário atual de redução do fluxo de investimento</w:t>
            </w:r>
            <w:r w:rsidR="00D23436">
              <w:rPr>
                <w:rFonts w:cs="Arial"/>
                <w:color w:val="000000" w:themeColor="text1"/>
                <w:szCs w:val="24"/>
              </w:rPr>
              <w:t xml:space="preserve"> e baixa disponibilidade de </w:t>
            </w:r>
            <w:r w:rsidR="00D23436">
              <w:rPr>
                <w:rFonts w:cs="Arial"/>
                <w:color w:val="000000" w:themeColor="text1"/>
                <w:szCs w:val="24"/>
              </w:rPr>
              <w:lastRenderedPageBreak/>
              <w:t>crédito</w:t>
            </w:r>
            <w:r>
              <w:rPr>
                <w:rFonts w:cs="Arial"/>
                <w:color w:val="000000" w:themeColor="text1"/>
                <w:szCs w:val="24"/>
              </w:rPr>
              <w:t xml:space="preserve">, existe uma necessidade de manutenção da capacidade da empresa de contrair investimentos. </w:t>
            </w:r>
            <w:r w:rsidR="006071B8">
              <w:rPr>
                <w:rFonts w:cs="Arial"/>
                <w:color w:val="000000" w:themeColor="text1"/>
                <w:szCs w:val="24"/>
              </w:rPr>
              <w:t>Mesmo como instrumentos de curto prazo (</w:t>
            </w:r>
            <w:r>
              <w:rPr>
                <w:rFonts w:cs="Arial"/>
                <w:color w:val="000000" w:themeColor="text1"/>
                <w:szCs w:val="24"/>
              </w:rPr>
              <w:t xml:space="preserve">Garantias </w:t>
            </w:r>
            <w:r w:rsidR="006071B8">
              <w:rPr>
                <w:rFonts w:cs="Arial"/>
                <w:color w:val="000000" w:themeColor="text1"/>
                <w:szCs w:val="24"/>
              </w:rPr>
              <w:t>de Oferta)</w:t>
            </w:r>
            <w:r>
              <w:rPr>
                <w:rFonts w:cs="Arial"/>
                <w:color w:val="000000" w:themeColor="text1"/>
                <w:szCs w:val="24"/>
              </w:rPr>
              <w:t xml:space="preserve"> são vistas por agentes financeiros como um fator de comprometimento </w:t>
            </w:r>
            <w:r w:rsidR="006071B8">
              <w:rPr>
                <w:rFonts w:cs="Arial"/>
                <w:color w:val="000000" w:themeColor="text1"/>
                <w:szCs w:val="24"/>
              </w:rPr>
              <w:t>financeiro.</w:t>
            </w:r>
          </w:p>
          <w:p w:rsidR="00872785" w:rsidRPr="00872785" w:rsidRDefault="00872785" w:rsidP="00872785">
            <w:pPr>
              <w:rPr>
                <w:rFonts w:ascii="Arial" w:hAnsi="Arial" w:cs="Arial"/>
                <w:color w:val="000000" w:themeColor="text1"/>
                <w:sz w:val="24"/>
                <w:szCs w:val="24"/>
              </w:rPr>
            </w:pPr>
          </w:p>
          <w:p w:rsidR="00872785" w:rsidRDefault="00872785" w:rsidP="00872785">
            <w:pPr>
              <w:rPr>
                <w:rFonts w:ascii="Arial" w:hAnsi="Arial" w:cs="Arial"/>
                <w:color w:val="000000" w:themeColor="text1"/>
                <w:sz w:val="24"/>
                <w:szCs w:val="24"/>
              </w:rPr>
            </w:pPr>
            <w:r>
              <w:rPr>
                <w:rFonts w:ascii="Arial" w:hAnsi="Arial" w:cs="Arial"/>
                <w:color w:val="000000" w:themeColor="text1"/>
                <w:sz w:val="24"/>
                <w:szCs w:val="24"/>
              </w:rPr>
              <w:t>Es</w:t>
            </w:r>
            <w:r w:rsidRPr="00872785">
              <w:rPr>
                <w:rFonts w:ascii="Arial" w:hAnsi="Arial" w:cs="Arial"/>
                <w:color w:val="000000" w:themeColor="text1"/>
                <w:sz w:val="24"/>
                <w:szCs w:val="24"/>
              </w:rPr>
              <w:t xml:space="preserve">ta </w:t>
            </w:r>
            <w:r>
              <w:rPr>
                <w:rFonts w:ascii="Arial" w:hAnsi="Arial" w:cs="Arial"/>
                <w:color w:val="000000" w:themeColor="text1"/>
                <w:sz w:val="24"/>
                <w:szCs w:val="24"/>
              </w:rPr>
              <w:t>exclusão</w:t>
            </w:r>
            <w:r w:rsidRPr="00872785">
              <w:rPr>
                <w:rFonts w:ascii="Arial" w:hAnsi="Arial" w:cs="Arial"/>
                <w:color w:val="000000" w:themeColor="text1"/>
                <w:sz w:val="24"/>
                <w:szCs w:val="24"/>
              </w:rPr>
              <w:t xml:space="preserve"> </w:t>
            </w:r>
            <w:r>
              <w:rPr>
                <w:rFonts w:ascii="Arial" w:hAnsi="Arial" w:cs="Arial"/>
                <w:color w:val="000000" w:themeColor="text1"/>
                <w:sz w:val="24"/>
                <w:szCs w:val="24"/>
              </w:rPr>
              <w:t>resultaria não somente na redução das barreiras de entrada aos já concessionários, como também contribuiria para redução do custo regulatório.</w:t>
            </w:r>
          </w:p>
          <w:p w:rsidR="00872785" w:rsidRDefault="00872785" w:rsidP="00872785">
            <w:pPr>
              <w:rPr>
                <w:rFonts w:ascii="Arial" w:hAnsi="Arial" w:cs="Arial"/>
                <w:color w:val="000000" w:themeColor="text1"/>
                <w:sz w:val="24"/>
                <w:szCs w:val="24"/>
              </w:rPr>
            </w:pPr>
          </w:p>
          <w:p w:rsidR="00872785" w:rsidRPr="00872785" w:rsidRDefault="00872785" w:rsidP="005F5F62">
            <w:r>
              <w:rPr>
                <w:rFonts w:ascii="Arial" w:hAnsi="Arial" w:cs="Arial"/>
                <w:color w:val="000000" w:themeColor="text1"/>
                <w:sz w:val="24"/>
                <w:szCs w:val="24"/>
              </w:rPr>
              <w:t xml:space="preserve">Recomenda-se que setor tenha um observatório para acompanhamento contínuo das condições dos operadores, agentes financeiros, do mercado, pois essas variáveis impactarão no nível de proteção para a União e no nível de </w:t>
            </w:r>
            <w:r w:rsidR="005F5F62">
              <w:rPr>
                <w:rFonts w:ascii="Arial" w:hAnsi="Arial" w:cs="Arial"/>
                <w:color w:val="000000" w:themeColor="text1"/>
                <w:sz w:val="24"/>
                <w:szCs w:val="24"/>
              </w:rPr>
              <w:t>risco</w:t>
            </w:r>
            <w:r>
              <w:rPr>
                <w:rFonts w:ascii="Arial" w:hAnsi="Arial" w:cs="Arial"/>
                <w:color w:val="000000" w:themeColor="text1"/>
                <w:sz w:val="24"/>
                <w:szCs w:val="24"/>
              </w:rPr>
              <w:t xml:space="preserve"> sobre os concessionários</w:t>
            </w:r>
            <w:r w:rsidR="005F5F62">
              <w:rPr>
                <w:rFonts w:ascii="Arial" w:hAnsi="Arial" w:cs="Arial"/>
                <w:color w:val="000000" w:themeColor="text1"/>
                <w:sz w:val="24"/>
                <w:szCs w:val="24"/>
              </w:rPr>
              <w:t xml:space="preserve"> e agentes financeiros (emissores de </w:t>
            </w:r>
            <w:proofErr w:type="spellStart"/>
            <w:r w:rsidR="005F5F62">
              <w:rPr>
                <w:rFonts w:ascii="Arial" w:hAnsi="Arial" w:cs="Arial"/>
                <w:color w:val="000000" w:themeColor="text1"/>
                <w:sz w:val="24"/>
                <w:szCs w:val="24"/>
              </w:rPr>
              <w:t>GFs</w:t>
            </w:r>
            <w:proofErr w:type="spellEnd"/>
            <w:r w:rsidR="005F5F62">
              <w:rPr>
                <w:rFonts w:ascii="Arial" w:hAnsi="Arial" w:cs="Arial"/>
                <w:color w:val="000000" w:themeColor="text1"/>
                <w:sz w:val="24"/>
                <w:szCs w:val="24"/>
              </w:rPr>
              <w:t>)</w:t>
            </w:r>
            <w:r>
              <w:rPr>
                <w:rFonts w:ascii="Arial" w:hAnsi="Arial" w:cs="Arial"/>
                <w:color w:val="000000" w:themeColor="text1"/>
                <w:sz w:val="24"/>
                <w:szCs w:val="24"/>
              </w:rPr>
              <w:t>.</w:t>
            </w:r>
          </w:p>
        </w:tc>
      </w:tr>
      <w:tr w:rsidR="00664D6E" w:rsidRPr="00932C2C" w:rsidTr="00A94E9A">
        <w:trPr>
          <w:trHeight w:val="2268"/>
        </w:trPr>
        <w:tc>
          <w:tcPr>
            <w:tcW w:w="542" w:type="pct"/>
            <w:vAlign w:val="center"/>
          </w:tcPr>
          <w:p w:rsidR="00664D6E" w:rsidRPr="000C0894" w:rsidRDefault="00664D6E" w:rsidP="00A94E9A">
            <w:pPr>
              <w:pStyle w:val="Legenda"/>
              <w:jc w:val="center"/>
              <w:rPr>
                <w:rFonts w:cs="Arial"/>
                <w:color w:val="000000" w:themeColor="text1"/>
                <w:szCs w:val="24"/>
              </w:rPr>
            </w:pPr>
            <w:proofErr w:type="spellStart"/>
            <w:r>
              <w:rPr>
                <w:rFonts w:cs="Arial"/>
                <w:color w:val="000000" w:themeColor="text1"/>
                <w:szCs w:val="24"/>
              </w:rPr>
              <w:lastRenderedPageBreak/>
              <w:t>Pré</w:t>
            </w:r>
            <w:proofErr w:type="spellEnd"/>
            <w:r>
              <w:rPr>
                <w:rFonts w:cs="Arial"/>
                <w:color w:val="000000" w:themeColor="text1"/>
                <w:szCs w:val="24"/>
              </w:rPr>
              <w:t>-Edital</w:t>
            </w:r>
          </w:p>
        </w:tc>
        <w:tc>
          <w:tcPr>
            <w:tcW w:w="537" w:type="pct"/>
            <w:vAlign w:val="center"/>
          </w:tcPr>
          <w:p w:rsidR="00664D6E" w:rsidRPr="000C0894" w:rsidRDefault="00664D6E" w:rsidP="00A94E9A">
            <w:pPr>
              <w:pStyle w:val="Legenda"/>
              <w:jc w:val="center"/>
              <w:rPr>
                <w:rFonts w:cs="Arial"/>
                <w:color w:val="000000" w:themeColor="text1"/>
                <w:szCs w:val="24"/>
              </w:rPr>
            </w:pPr>
            <w:r>
              <w:rPr>
                <w:rFonts w:cs="Arial"/>
                <w:color w:val="000000" w:themeColor="text1"/>
                <w:szCs w:val="24"/>
              </w:rPr>
              <w:t>Alteração</w:t>
            </w:r>
          </w:p>
        </w:tc>
        <w:tc>
          <w:tcPr>
            <w:tcW w:w="537" w:type="pct"/>
            <w:vAlign w:val="center"/>
          </w:tcPr>
          <w:p w:rsidR="00664D6E" w:rsidRPr="000C0894" w:rsidRDefault="00664D6E" w:rsidP="00A94E9A">
            <w:pPr>
              <w:pStyle w:val="Legenda"/>
              <w:jc w:val="center"/>
              <w:rPr>
                <w:rFonts w:cs="Arial"/>
                <w:color w:val="000000" w:themeColor="text1"/>
                <w:szCs w:val="24"/>
              </w:rPr>
            </w:pPr>
            <w:r>
              <w:rPr>
                <w:rFonts w:cs="Arial"/>
                <w:color w:val="000000" w:themeColor="text1"/>
                <w:szCs w:val="24"/>
              </w:rPr>
              <w:t>5</w:t>
            </w:r>
          </w:p>
        </w:tc>
        <w:tc>
          <w:tcPr>
            <w:tcW w:w="1746" w:type="pct"/>
            <w:vAlign w:val="center"/>
          </w:tcPr>
          <w:p w:rsidR="00664D6E" w:rsidRPr="000C0894" w:rsidRDefault="00664D6E" w:rsidP="00664D6E">
            <w:pPr>
              <w:pStyle w:val="Legenda"/>
              <w:rPr>
                <w:rFonts w:cs="Arial"/>
                <w:color w:val="000000" w:themeColor="text1"/>
                <w:szCs w:val="24"/>
              </w:rPr>
            </w:pPr>
            <w:r>
              <w:rPr>
                <w:rFonts w:cs="Arial"/>
                <w:color w:val="000000" w:themeColor="text1"/>
                <w:szCs w:val="24"/>
              </w:rPr>
              <w:t>Alterar a exigência de Garantia de Oferta para agentes não contratados (novos entrantes) com a União.</w:t>
            </w:r>
          </w:p>
        </w:tc>
        <w:tc>
          <w:tcPr>
            <w:tcW w:w="1638" w:type="pct"/>
            <w:vAlign w:val="center"/>
          </w:tcPr>
          <w:p w:rsidR="00664D6E" w:rsidRDefault="00664D6E" w:rsidP="00A94E9A">
            <w:pPr>
              <w:pStyle w:val="Legenda"/>
              <w:rPr>
                <w:rFonts w:cs="Arial"/>
                <w:color w:val="000000" w:themeColor="text1"/>
                <w:szCs w:val="24"/>
              </w:rPr>
            </w:pPr>
            <w:r>
              <w:rPr>
                <w:rFonts w:cs="Arial"/>
                <w:color w:val="000000" w:themeColor="text1"/>
                <w:szCs w:val="24"/>
              </w:rPr>
              <w:t>No cenário atual de redução do fluxo de investimento</w:t>
            </w:r>
            <w:r w:rsidR="00D23436">
              <w:rPr>
                <w:rFonts w:cs="Arial"/>
                <w:color w:val="000000" w:themeColor="text1"/>
                <w:szCs w:val="24"/>
              </w:rPr>
              <w:t xml:space="preserve"> e baixa disponibilidade de crédito</w:t>
            </w:r>
            <w:r>
              <w:rPr>
                <w:rFonts w:cs="Arial"/>
                <w:color w:val="000000" w:themeColor="text1"/>
                <w:szCs w:val="24"/>
              </w:rPr>
              <w:t>, existe uma necessidade de manutenção da capacidade da empresa de contrair investimentos. Mesmo como instrumentos de curto prazo (Garantias de Oferta) são vistas por agentes financeiros como um fator de comprometimento financeiro.</w:t>
            </w:r>
          </w:p>
          <w:p w:rsidR="00664D6E" w:rsidRPr="00872785" w:rsidRDefault="00664D6E" w:rsidP="00A94E9A">
            <w:pPr>
              <w:rPr>
                <w:rFonts w:ascii="Arial" w:hAnsi="Arial" w:cs="Arial"/>
                <w:color w:val="000000" w:themeColor="text1"/>
                <w:sz w:val="24"/>
                <w:szCs w:val="24"/>
              </w:rPr>
            </w:pPr>
          </w:p>
          <w:p w:rsidR="00CD29FA" w:rsidRDefault="00664D6E" w:rsidP="00A94E9A">
            <w:pPr>
              <w:rPr>
                <w:rFonts w:ascii="Arial" w:hAnsi="Arial" w:cs="Arial"/>
                <w:color w:val="000000" w:themeColor="text1"/>
                <w:sz w:val="24"/>
                <w:szCs w:val="24"/>
              </w:rPr>
            </w:pPr>
            <w:r>
              <w:rPr>
                <w:rFonts w:ascii="Arial" w:hAnsi="Arial" w:cs="Arial"/>
                <w:color w:val="000000" w:themeColor="text1"/>
                <w:sz w:val="24"/>
                <w:szCs w:val="24"/>
              </w:rPr>
              <w:t>Es</w:t>
            </w:r>
            <w:r w:rsidRPr="00872785">
              <w:rPr>
                <w:rFonts w:ascii="Arial" w:hAnsi="Arial" w:cs="Arial"/>
                <w:color w:val="000000" w:themeColor="text1"/>
                <w:sz w:val="24"/>
                <w:szCs w:val="24"/>
              </w:rPr>
              <w:t xml:space="preserve">ta </w:t>
            </w:r>
            <w:r w:rsidR="00CD29FA">
              <w:rPr>
                <w:rFonts w:ascii="Arial" w:hAnsi="Arial" w:cs="Arial"/>
                <w:color w:val="000000" w:themeColor="text1"/>
                <w:sz w:val="24"/>
                <w:szCs w:val="24"/>
              </w:rPr>
              <w:t>alteração</w:t>
            </w:r>
            <w:r w:rsidRPr="00872785">
              <w:rPr>
                <w:rFonts w:ascii="Arial" w:hAnsi="Arial" w:cs="Arial"/>
                <w:color w:val="000000" w:themeColor="text1"/>
                <w:sz w:val="24"/>
                <w:szCs w:val="24"/>
              </w:rPr>
              <w:t xml:space="preserve"> </w:t>
            </w:r>
            <w:r>
              <w:rPr>
                <w:rFonts w:ascii="Arial" w:hAnsi="Arial" w:cs="Arial"/>
                <w:color w:val="000000" w:themeColor="text1"/>
                <w:sz w:val="24"/>
                <w:szCs w:val="24"/>
              </w:rPr>
              <w:t>resultaria não somente na redução das barreiras de entrada aos novos entrantes, como também contribuiria para redução do custo regulatório.</w:t>
            </w:r>
            <w:r w:rsidR="00CD29FA">
              <w:rPr>
                <w:rFonts w:ascii="Arial" w:hAnsi="Arial" w:cs="Arial"/>
                <w:color w:val="000000" w:themeColor="text1"/>
                <w:sz w:val="24"/>
                <w:szCs w:val="24"/>
              </w:rPr>
              <w:t xml:space="preserve"> </w:t>
            </w:r>
          </w:p>
          <w:p w:rsidR="00664D6E" w:rsidRDefault="00664D6E" w:rsidP="00A94E9A">
            <w:pPr>
              <w:rPr>
                <w:rFonts w:ascii="Arial" w:hAnsi="Arial" w:cs="Arial"/>
                <w:color w:val="000000" w:themeColor="text1"/>
                <w:sz w:val="24"/>
                <w:szCs w:val="24"/>
              </w:rPr>
            </w:pPr>
          </w:p>
          <w:p w:rsidR="00664D6E" w:rsidRDefault="00664D6E" w:rsidP="00664D6E">
            <w:pPr>
              <w:rPr>
                <w:rFonts w:ascii="Arial" w:hAnsi="Arial" w:cs="Arial"/>
                <w:color w:val="000000" w:themeColor="text1"/>
                <w:sz w:val="24"/>
                <w:szCs w:val="24"/>
              </w:rPr>
            </w:pPr>
            <w:r>
              <w:rPr>
                <w:rFonts w:ascii="Arial" w:hAnsi="Arial" w:cs="Arial"/>
                <w:color w:val="000000" w:themeColor="text1"/>
                <w:sz w:val="24"/>
                <w:szCs w:val="24"/>
              </w:rPr>
              <w:t xml:space="preserve">Para isso, o setor precisaria ter um observatório para acompanhamento contínuo das condições dos operadores, agentes financeiros, do mercado, pois essas variáveis impactarão no nível de proteção para a União e no nível de risco sobre os concessionários e agentes financeiros (emissores de </w:t>
            </w:r>
            <w:proofErr w:type="spellStart"/>
            <w:r>
              <w:rPr>
                <w:rFonts w:ascii="Arial" w:hAnsi="Arial" w:cs="Arial"/>
                <w:color w:val="000000" w:themeColor="text1"/>
                <w:sz w:val="24"/>
                <w:szCs w:val="24"/>
              </w:rPr>
              <w:t>GFs</w:t>
            </w:r>
            <w:proofErr w:type="spellEnd"/>
            <w:r>
              <w:rPr>
                <w:rFonts w:ascii="Arial" w:hAnsi="Arial" w:cs="Arial"/>
                <w:color w:val="000000" w:themeColor="text1"/>
                <w:sz w:val="24"/>
                <w:szCs w:val="24"/>
              </w:rPr>
              <w:t>).</w:t>
            </w:r>
            <w:r w:rsidR="00CD29FA">
              <w:rPr>
                <w:rFonts w:ascii="Arial" w:hAnsi="Arial" w:cs="Arial"/>
                <w:color w:val="000000" w:themeColor="text1"/>
                <w:sz w:val="24"/>
                <w:szCs w:val="24"/>
              </w:rPr>
              <w:t xml:space="preserve"> </w:t>
            </w:r>
          </w:p>
          <w:p w:rsidR="00CD29FA" w:rsidRDefault="00CD29FA" w:rsidP="00664D6E">
            <w:pPr>
              <w:rPr>
                <w:rFonts w:ascii="Arial" w:hAnsi="Arial" w:cs="Arial"/>
                <w:color w:val="000000" w:themeColor="text1"/>
                <w:sz w:val="24"/>
                <w:szCs w:val="24"/>
              </w:rPr>
            </w:pPr>
          </w:p>
          <w:p w:rsidR="00CD29FA" w:rsidRPr="00872785" w:rsidRDefault="00CD29FA" w:rsidP="00CD29FA">
            <w:r>
              <w:rPr>
                <w:rFonts w:ascii="Arial" w:hAnsi="Arial" w:cs="Arial"/>
                <w:color w:val="000000" w:themeColor="text1"/>
                <w:sz w:val="24"/>
                <w:szCs w:val="24"/>
              </w:rPr>
              <w:t xml:space="preserve">Portanto, </w:t>
            </w:r>
            <w:proofErr w:type="spellStart"/>
            <w:r>
              <w:rPr>
                <w:rFonts w:ascii="Arial" w:hAnsi="Arial" w:cs="Arial"/>
                <w:color w:val="000000" w:themeColor="text1"/>
                <w:sz w:val="24"/>
                <w:szCs w:val="24"/>
              </w:rPr>
              <w:t>esta</w:t>
            </w:r>
            <w:proofErr w:type="spellEnd"/>
            <w:r>
              <w:rPr>
                <w:rFonts w:ascii="Arial" w:hAnsi="Arial" w:cs="Arial"/>
                <w:color w:val="000000" w:themeColor="text1"/>
                <w:sz w:val="24"/>
                <w:szCs w:val="24"/>
              </w:rPr>
              <w:t xml:space="preserve"> clausula deveria ser alterada para contemplar um processo de qualificação (</w:t>
            </w:r>
            <w:r w:rsidRPr="00CD29FA">
              <w:rPr>
                <w:rFonts w:ascii="Arial" w:hAnsi="Arial" w:cs="Arial"/>
                <w:i/>
                <w:color w:val="000000" w:themeColor="text1"/>
                <w:sz w:val="24"/>
                <w:szCs w:val="24"/>
              </w:rPr>
              <w:t>rating</w:t>
            </w:r>
            <w:r>
              <w:rPr>
                <w:rFonts w:ascii="Arial" w:hAnsi="Arial" w:cs="Arial"/>
                <w:color w:val="000000" w:themeColor="text1"/>
                <w:sz w:val="24"/>
                <w:szCs w:val="24"/>
              </w:rPr>
              <w:t>) do novo entrante, resultando em uma matriz de risco para definição no valo</w:t>
            </w:r>
            <w:r w:rsidR="009B4282">
              <w:rPr>
                <w:rFonts w:ascii="Arial" w:hAnsi="Arial" w:cs="Arial"/>
                <w:color w:val="000000" w:themeColor="text1"/>
                <w:sz w:val="24"/>
                <w:szCs w:val="24"/>
              </w:rPr>
              <w:t>r da garantia, quando necessária</w:t>
            </w:r>
            <w:r w:rsidR="00377611">
              <w:rPr>
                <w:rFonts w:ascii="Arial" w:hAnsi="Arial" w:cs="Arial"/>
                <w:color w:val="000000" w:themeColor="text1"/>
                <w:sz w:val="24"/>
                <w:szCs w:val="24"/>
              </w:rPr>
              <w:t>.</w:t>
            </w:r>
          </w:p>
        </w:tc>
      </w:tr>
      <w:tr w:rsidR="002442E2" w:rsidRPr="00932C2C" w:rsidTr="002442E2">
        <w:trPr>
          <w:trHeight w:val="2268"/>
        </w:trPr>
        <w:tc>
          <w:tcPr>
            <w:tcW w:w="542" w:type="pct"/>
            <w:vAlign w:val="center"/>
          </w:tcPr>
          <w:p w:rsidR="002442E2" w:rsidRPr="000C0894" w:rsidRDefault="00872785" w:rsidP="00872785">
            <w:pPr>
              <w:pStyle w:val="Legenda"/>
              <w:jc w:val="center"/>
              <w:rPr>
                <w:rFonts w:cs="Arial"/>
                <w:color w:val="000000" w:themeColor="text1"/>
                <w:szCs w:val="24"/>
              </w:rPr>
            </w:pPr>
            <w:r>
              <w:rPr>
                <w:rFonts w:cs="Arial"/>
                <w:color w:val="000000" w:themeColor="text1"/>
                <w:szCs w:val="24"/>
              </w:rPr>
              <w:lastRenderedPageBreak/>
              <w:t>Minuta de Contrato</w:t>
            </w:r>
          </w:p>
        </w:tc>
        <w:tc>
          <w:tcPr>
            <w:tcW w:w="537" w:type="pct"/>
            <w:vAlign w:val="center"/>
          </w:tcPr>
          <w:p w:rsidR="002442E2" w:rsidRPr="000C0894" w:rsidRDefault="002F6941" w:rsidP="00A32932">
            <w:pPr>
              <w:pStyle w:val="Legenda"/>
              <w:jc w:val="center"/>
              <w:rPr>
                <w:rFonts w:cs="Arial"/>
                <w:color w:val="000000" w:themeColor="text1"/>
                <w:szCs w:val="24"/>
              </w:rPr>
            </w:pPr>
            <w:r>
              <w:rPr>
                <w:rFonts w:cs="Arial"/>
                <w:color w:val="000000" w:themeColor="text1"/>
                <w:szCs w:val="24"/>
              </w:rPr>
              <w:t>Exclusão</w:t>
            </w:r>
          </w:p>
        </w:tc>
        <w:tc>
          <w:tcPr>
            <w:tcW w:w="537" w:type="pct"/>
            <w:vAlign w:val="center"/>
          </w:tcPr>
          <w:p w:rsidR="002442E2" w:rsidRPr="000C0894" w:rsidRDefault="002F6941" w:rsidP="00A32932">
            <w:pPr>
              <w:pStyle w:val="Legenda"/>
              <w:jc w:val="center"/>
              <w:rPr>
                <w:rFonts w:cs="Arial"/>
                <w:color w:val="000000" w:themeColor="text1"/>
                <w:szCs w:val="24"/>
              </w:rPr>
            </w:pPr>
            <w:r>
              <w:rPr>
                <w:rFonts w:cs="Arial"/>
                <w:color w:val="000000" w:themeColor="text1"/>
                <w:szCs w:val="24"/>
              </w:rPr>
              <w:t>6.6</w:t>
            </w:r>
          </w:p>
        </w:tc>
        <w:tc>
          <w:tcPr>
            <w:tcW w:w="1746" w:type="pct"/>
            <w:vAlign w:val="center"/>
          </w:tcPr>
          <w:p w:rsidR="002442E2" w:rsidRPr="000C0894" w:rsidRDefault="0045478F" w:rsidP="007E72D7">
            <w:pPr>
              <w:pStyle w:val="Legenda"/>
              <w:jc w:val="both"/>
              <w:rPr>
                <w:rFonts w:cs="Arial"/>
                <w:color w:val="000000" w:themeColor="text1"/>
                <w:szCs w:val="24"/>
              </w:rPr>
            </w:pPr>
            <w:r>
              <w:rPr>
                <w:rFonts w:cs="Arial"/>
                <w:color w:val="000000" w:themeColor="text1"/>
                <w:szCs w:val="24"/>
              </w:rPr>
              <w:t xml:space="preserve">Suprimir a </w:t>
            </w:r>
            <w:r w:rsidR="007E72D7">
              <w:rPr>
                <w:rFonts w:cs="Arial"/>
                <w:color w:val="000000" w:themeColor="text1"/>
                <w:szCs w:val="24"/>
              </w:rPr>
              <w:t xml:space="preserve">obrigatoriedade </w:t>
            </w:r>
            <w:r>
              <w:rPr>
                <w:rFonts w:cs="Arial"/>
                <w:color w:val="000000" w:themeColor="text1"/>
                <w:szCs w:val="24"/>
              </w:rPr>
              <w:t>de Garantia de Financeira (PEM) para agentes (concessionários e demais contratados) com contratos de E&amp;P vigentes com a Uni</w:t>
            </w:r>
            <w:r w:rsidR="007E72D7">
              <w:rPr>
                <w:rFonts w:cs="Arial"/>
                <w:color w:val="000000" w:themeColor="text1"/>
                <w:szCs w:val="24"/>
              </w:rPr>
              <w:t>ão, quando estas se mostrarem desnecessárias.</w:t>
            </w:r>
          </w:p>
        </w:tc>
        <w:tc>
          <w:tcPr>
            <w:tcW w:w="1638" w:type="pct"/>
            <w:vAlign w:val="center"/>
          </w:tcPr>
          <w:p w:rsidR="0045478F" w:rsidRDefault="0045478F" w:rsidP="0045478F">
            <w:pPr>
              <w:pStyle w:val="Legenda"/>
              <w:rPr>
                <w:rFonts w:cs="Arial"/>
                <w:color w:val="000000" w:themeColor="text1"/>
                <w:szCs w:val="24"/>
              </w:rPr>
            </w:pPr>
            <w:r>
              <w:rPr>
                <w:rFonts w:cs="Arial"/>
                <w:color w:val="000000" w:themeColor="text1"/>
                <w:szCs w:val="24"/>
              </w:rPr>
              <w:t xml:space="preserve">As Garantias Financeiras (GF) tem o objetivo de salvaguardar a União de: </w:t>
            </w:r>
            <w:r w:rsidRPr="00E34CD2">
              <w:rPr>
                <w:rFonts w:cs="Arial"/>
                <w:color w:val="000000" w:themeColor="text1"/>
                <w:szCs w:val="24"/>
              </w:rPr>
              <w:t>Insolvência;</w:t>
            </w:r>
            <w:r>
              <w:rPr>
                <w:rFonts w:cs="Arial"/>
                <w:color w:val="000000" w:themeColor="text1"/>
                <w:szCs w:val="24"/>
              </w:rPr>
              <w:t xml:space="preserve"> mudanças de </w:t>
            </w:r>
            <w:r w:rsidRPr="00E34CD2">
              <w:rPr>
                <w:rFonts w:cs="Arial"/>
                <w:color w:val="000000" w:themeColor="text1"/>
                <w:szCs w:val="24"/>
              </w:rPr>
              <w:t>Mercado;</w:t>
            </w:r>
            <w:r>
              <w:rPr>
                <w:rFonts w:cs="Arial"/>
                <w:color w:val="000000" w:themeColor="text1"/>
                <w:szCs w:val="24"/>
              </w:rPr>
              <w:t xml:space="preserve"> </w:t>
            </w:r>
            <w:r w:rsidRPr="00E34CD2">
              <w:rPr>
                <w:rFonts w:cs="Arial"/>
                <w:color w:val="000000" w:themeColor="text1"/>
                <w:szCs w:val="24"/>
              </w:rPr>
              <w:t>Indisponibilidade de recursos;</w:t>
            </w:r>
            <w:r>
              <w:rPr>
                <w:rFonts w:cs="Arial"/>
                <w:color w:val="000000" w:themeColor="text1"/>
                <w:szCs w:val="24"/>
              </w:rPr>
              <w:t xml:space="preserve"> </w:t>
            </w:r>
            <w:r w:rsidRPr="00E34CD2">
              <w:rPr>
                <w:rFonts w:cs="Arial"/>
                <w:color w:val="000000" w:themeColor="text1"/>
                <w:szCs w:val="24"/>
              </w:rPr>
              <w:t>Negligência</w:t>
            </w:r>
            <w:r>
              <w:rPr>
                <w:rFonts w:cs="Arial"/>
                <w:color w:val="000000" w:themeColor="text1"/>
                <w:szCs w:val="24"/>
              </w:rPr>
              <w:t xml:space="preserve">; etc. Parece-nos inadequado a exigência de GF para agentes com contratos vigentes com a União, pois bastaria verificar as condições técnicas, econômicas e jurídicas. Isto já é feito no </w:t>
            </w:r>
            <w:r>
              <w:rPr>
                <w:rFonts w:cs="Arial"/>
                <w:color w:val="000000" w:themeColor="text1"/>
                <w:szCs w:val="24"/>
              </w:rPr>
              <w:lastRenderedPageBreak/>
              <w:t xml:space="preserve">acompanhamento dos contratos e na qualificação da empresa. </w:t>
            </w:r>
          </w:p>
          <w:p w:rsidR="0045478F" w:rsidRDefault="0045478F" w:rsidP="0045478F">
            <w:pPr>
              <w:pStyle w:val="Legenda"/>
              <w:rPr>
                <w:rFonts w:cs="Arial"/>
                <w:color w:val="000000" w:themeColor="text1"/>
                <w:szCs w:val="24"/>
              </w:rPr>
            </w:pPr>
          </w:p>
          <w:p w:rsidR="0045478F" w:rsidRDefault="0045478F" w:rsidP="0045478F">
            <w:pPr>
              <w:pStyle w:val="Legenda"/>
              <w:rPr>
                <w:rFonts w:cs="Arial"/>
                <w:color w:val="000000" w:themeColor="text1"/>
                <w:szCs w:val="24"/>
              </w:rPr>
            </w:pPr>
            <w:r>
              <w:rPr>
                <w:rFonts w:cs="Arial"/>
                <w:color w:val="000000" w:themeColor="text1"/>
                <w:szCs w:val="24"/>
              </w:rPr>
              <w:t>No cenário atual de redução do fluxo de investimento</w:t>
            </w:r>
            <w:r w:rsidR="00CD29FA">
              <w:rPr>
                <w:rFonts w:cs="Arial"/>
                <w:color w:val="000000" w:themeColor="text1"/>
                <w:szCs w:val="24"/>
              </w:rPr>
              <w:t xml:space="preserve"> e baixa disponibilidade de crédito</w:t>
            </w:r>
            <w:r>
              <w:rPr>
                <w:rFonts w:cs="Arial"/>
                <w:color w:val="000000" w:themeColor="text1"/>
                <w:szCs w:val="24"/>
              </w:rPr>
              <w:t>, existe uma necessidade de manutenção da capacidade da empresa de contrair investimentos. Mesmo como instrumentos de curto e médio prazos (Garantias de PEM) são vistas por agentes financeiros como um fator de comprometimento financeiro.</w:t>
            </w:r>
          </w:p>
          <w:p w:rsidR="0045478F" w:rsidRPr="00872785" w:rsidRDefault="0045478F" w:rsidP="0045478F">
            <w:pPr>
              <w:rPr>
                <w:rFonts w:ascii="Arial" w:hAnsi="Arial" w:cs="Arial"/>
                <w:color w:val="000000" w:themeColor="text1"/>
                <w:sz w:val="24"/>
                <w:szCs w:val="24"/>
              </w:rPr>
            </w:pPr>
          </w:p>
          <w:p w:rsidR="0045478F" w:rsidRDefault="0045478F" w:rsidP="0045478F">
            <w:pPr>
              <w:rPr>
                <w:rFonts w:ascii="Arial" w:hAnsi="Arial" w:cs="Arial"/>
                <w:color w:val="000000" w:themeColor="text1"/>
                <w:sz w:val="24"/>
                <w:szCs w:val="24"/>
              </w:rPr>
            </w:pPr>
            <w:r>
              <w:rPr>
                <w:rFonts w:ascii="Arial" w:hAnsi="Arial" w:cs="Arial"/>
                <w:color w:val="000000" w:themeColor="text1"/>
                <w:sz w:val="24"/>
                <w:szCs w:val="24"/>
              </w:rPr>
              <w:t>Es</w:t>
            </w:r>
            <w:r w:rsidRPr="00872785">
              <w:rPr>
                <w:rFonts w:ascii="Arial" w:hAnsi="Arial" w:cs="Arial"/>
                <w:color w:val="000000" w:themeColor="text1"/>
                <w:sz w:val="24"/>
                <w:szCs w:val="24"/>
              </w:rPr>
              <w:t xml:space="preserve">ta </w:t>
            </w:r>
            <w:r>
              <w:rPr>
                <w:rFonts w:ascii="Arial" w:hAnsi="Arial" w:cs="Arial"/>
                <w:color w:val="000000" w:themeColor="text1"/>
                <w:sz w:val="24"/>
                <w:szCs w:val="24"/>
              </w:rPr>
              <w:t>exclusão</w:t>
            </w:r>
            <w:r w:rsidRPr="00872785">
              <w:rPr>
                <w:rFonts w:ascii="Arial" w:hAnsi="Arial" w:cs="Arial"/>
                <w:color w:val="000000" w:themeColor="text1"/>
                <w:sz w:val="24"/>
                <w:szCs w:val="24"/>
              </w:rPr>
              <w:t xml:space="preserve"> </w:t>
            </w:r>
            <w:r>
              <w:rPr>
                <w:rFonts w:ascii="Arial" w:hAnsi="Arial" w:cs="Arial"/>
                <w:color w:val="000000" w:themeColor="text1"/>
                <w:sz w:val="24"/>
                <w:szCs w:val="24"/>
              </w:rPr>
              <w:t>resultaria não somente na redução de custos financeiros dos operadores, como também contribuiria para redução do custo regulatório.</w:t>
            </w:r>
          </w:p>
          <w:p w:rsidR="0045478F" w:rsidRDefault="0045478F" w:rsidP="0045478F">
            <w:pPr>
              <w:rPr>
                <w:rFonts w:ascii="Arial" w:hAnsi="Arial" w:cs="Arial"/>
                <w:color w:val="000000" w:themeColor="text1"/>
                <w:sz w:val="24"/>
                <w:szCs w:val="24"/>
              </w:rPr>
            </w:pPr>
          </w:p>
          <w:p w:rsidR="002442E2" w:rsidRPr="000C0894" w:rsidRDefault="00AE6366" w:rsidP="00AE6366">
            <w:pPr>
              <w:pStyle w:val="Legenda"/>
              <w:rPr>
                <w:rFonts w:cs="Arial"/>
                <w:color w:val="000000" w:themeColor="text1"/>
                <w:szCs w:val="24"/>
              </w:rPr>
            </w:pPr>
            <w:r>
              <w:rPr>
                <w:rFonts w:cs="Arial"/>
                <w:color w:val="000000" w:themeColor="text1"/>
                <w:szCs w:val="24"/>
              </w:rPr>
              <w:t xml:space="preserve">Recomenda-se que setor tenha um observatório para acompanhamento contínuo das condições dos operadores, agentes financeiros, do mercado, pois essas variáveis impactarão no nível de proteção para a União e no nível de risco sobre os concessionários e agentes financeiros (emissores de </w:t>
            </w:r>
            <w:proofErr w:type="spellStart"/>
            <w:r>
              <w:rPr>
                <w:rFonts w:cs="Arial"/>
                <w:color w:val="000000" w:themeColor="text1"/>
                <w:szCs w:val="24"/>
              </w:rPr>
              <w:t>GFs</w:t>
            </w:r>
            <w:proofErr w:type="spellEnd"/>
            <w:r>
              <w:rPr>
                <w:rFonts w:cs="Arial"/>
                <w:color w:val="000000" w:themeColor="text1"/>
                <w:szCs w:val="24"/>
              </w:rPr>
              <w:t>). Inclusive, de acordo com o espirito da Lei do Petróleo (Art. 29), constantemente monitorando as condições de qualificações do contratado.</w:t>
            </w:r>
          </w:p>
        </w:tc>
      </w:tr>
      <w:tr w:rsidR="0045478F" w:rsidRPr="00932C2C" w:rsidTr="002442E2">
        <w:trPr>
          <w:trHeight w:val="2268"/>
        </w:trPr>
        <w:tc>
          <w:tcPr>
            <w:tcW w:w="542" w:type="pct"/>
            <w:vAlign w:val="center"/>
          </w:tcPr>
          <w:p w:rsidR="0045478F" w:rsidRPr="000C0894" w:rsidRDefault="0045478F" w:rsidP="00A94E9A">
            <w:pPr>
              <w:pStyle w:val="Legenda"/>
              <w:jc w:val="center"/>
              <w:rPr>
                <w:rFonts w:cs="Arial"/>
                <w:color w:val="000000" w:themeColor="text1"/>
                <w:szCs w:val="24"/>
              </w:rPr>
            </w:pPr>
            <w:r>
              <w:rPr>
                <w:rFonts w:cs="Arial"/>
                <w:color w:val="000000" w:themeColor="text1"/>
                <w:szCs w:val="24"/>
              </w:rPr>
              <w:lastRenderedPageBreak/>
              <w:t>Minuta de Contrato</w:t>
            </w:r>
          </w:p>
        </w:tc>
        <w:tc>
          <w:tcPr>
            <w:tcW w:w="537" w:type="pct"/>
            <w:vAlign w:val="center"/>
          </w:tcPr>
          <w:p w:rsidR="0045478F" w:rsidRPr="000C0894" w:rsidRDefault="0045478F" w:rsidP="00A94E9A">
            <w:pPr>
              <w:pStyle w:val="Legenda"/>
              <w:jc w:val="center"/>
              <w:rPr>
                <w:rFonts w:cs="Arial"/>
                <w:color w:val="000000" w:themeColor="text1"/>
                <w:szCs w:val="24"/>
              </w:rPr>
            </w:pPr>
            <w:r>
              <w:rPr>
                <w:rFonts w:cs="Arial"/>
                <w:color w:val="000000" w:themeColor="text1"/>
                <w:szCs w:val="24"/>
              </w:rPr>
              <w:t>Alteração</w:t>
            </w:r>
          </w:p>
        </w:tc>
        <w:tc>
          <w:tcPr>
            <w:tcW w:w="537" w:type="pct"/>
            <w:vAlign w:val="center"/>
          </w:tcPr>
          <w:p w:rsidR="0045478F" w:rsidRPr="000C0894" w:rsidRDefault="0045478F" w:rsidP="00A94E9A">
            <w:pPr>
              <w:pStyle w:val="Legenda"/>
              <w:jc w:val="center"/>
              <w:rPr>
                <w:rFonts w:cs="Arial"/>
                <w:color w:val="000000" w:themeColor="text1"/>
                <w:szCs w:val="24"/>
              </w:rPr>
            </w:pPr>
            <w:r>
              <w:rPr>
                <w:rFonts w:cs="Arial"/>
                <w:color w:val="000000" w:themeColor="text1"/>
                <w:szCs w:val="24"/>
              </w:rPr>
              <w:t>6.6</w:t>
            </w:r>
          </w:p>
        </w:tc>
        <w:tc>
          <w:tcPr>
            <w:tcW w:w="1746" w:type="pct"/>
            <w:vAlign w:val="center"/>
          </w:tcPr>
          <w:p w:rsidR="0045478F" w:rsidRPr="000C0894" w:rsidRDefault="0045478F" w:rsidP="0045478F">
            <w:pPr>
              <w:pStyle w:val="Legenda"/>
              <w:rPr>
                <w:rFonts w:cs="Arial"/>
                <w:color w:val="000000" w:themeColor="text1"/>
                <w:szCs w:val="24"/>
              </w:rPr>
            </w:pPr>
            <w:r>
              <w:rPr>
                <w:rFonts w:cs="Arial"/>
                <w:color w:val="000000" w:themeColor="text1"/>
                <w:szCs w:val="24"/>
              </w:rPr>
              <w:t>Alterar a exigência de Garantia Financeira (PEM) para agentes não contratados (novos entrantes) com a União.</w:t>
            </w:r>
          </w:p>
        </w:tc>
        <w:tc>
          <w:tcPr>
            <w:tcW w:w="1638" w:type="pct"/>
            <w:vAlign w:val="center"/>
          </w:tcPr>
          <w:p w:rsidR="0045478F" w:rsidRDefault="0045478F" w:rsidP="003D5D42">
            <w:pPr>
              <w:pStyle w:val="Legenda"/>
              <w:rPr>
                <w:rFonts w:cs="Arial"/>
                <w:color w:val="000000" w:themeColor="text1"/>
                <w:szCs w:val="24"/>
              </w:rPr>
            </w:pPr>
            <w:r>
              <w:rPr>
                <w:rFonts w:cs="Arial"/>
                <w:color w:val="000000" w:themeColor="text1"/>
                <w:szCs w:val="24"/>
              </w:rPr>
              <w:t>No cenário atual de redução do fluxo de investimento</w:t>
            </w:r>
            <w:r w:rsidR="00CD29FA">
              <w:rPr>
                <w:rFonts w:cs="Arial"/>
                <w:color w:val="000000" w:themeColor="text1"/>
                <w:szCs w:val="24"/>
              </w:rPr>
              <w:t xml:space="preserve"> e baixa disponibilidade de crédito</w:t>
            </w:r>
            <w:r>
              <w:rPr>
                <w:rFonts w:cs="Arial"/>
                <w:color w:val="000000" w:themeColor="text1"/>
                <w:szCs w:val="24"/>
              </w:rPr>
              <w:t>, existe uma necessidade de manutenção da capacidade da empresa de contrair investimentos. Mesmo como instrumentos de curto e médio prazos (Garantias de PEM) são vistas por agentes financeiros como um fator de comprometimento financeiro.</w:t>
            </w:r>
          </w:p>
          <w:p w:rsidR="0045478F" w:rsidRPr="00872785" w:rsidRDefault="0045478F" w:rsidP="003D5D42">
            <w:pPr>
              <w:rPr>
                <w:rFonts w:ascii="Arial" w:hAnsi="Arial" w:cs="Arial"/>
                <w:color w:val="000000" w:themeColor="text1"/>
                <w:sz w:val="24"/>
                <w:szCs w:val="24"/>
              </w:rPr>
            </w:pPr>
          </w:p>
          <w:p w:rsidR="0045478F" w:rsidRDefault="0045478F" w:rsidP="003D5D42">
            <w:pPr>
              <w:rPr>
                <w:rFonts w:ascii="Arial" w:hAnsi="Arial" w:cs="Arial"/>
                <w:color w:val="000000" w:themeColor="text1"/>
                <w:sz w:val="24"/>
                <w:szCs w:val="24"/>
              </w:rPr>
            </w:pPr>
            <w:r>
              <w:rPr>
                <w:rFonts w:ascii="Arial" w:hAnsi="Arial" w:cs="Arial"/>
                <w:color w:val="000000" w:themeColor="text1"/>
                <w:sz w:val="24"/>
                <w:szCs w:val="24"/>
              </w:rPr>
              <w:t>Es</w:t>
            </w:r>
            <w:r w:rsidRPr="00872785">
              <w:rPr>
                <w:rFonts w:ascii="Arial" w:hAnsi="Arial" w:cs="Arial"/>
                <w:color w:val="000000" w:themeColor="text1"/>
                <w:sz w:val="24"/>
                <w:szCs w:val="24"/>
              </w:rPr>
              <w:t xml:space="preserve">ta </w:t>
            </w:r>
            <w:r>
              <w:rPr>
                <w:rFonts w:ascii="Arial" w:hAnsi="Arial" w:cs="Arial"/>
                <w:color w:val="000000" w:themeColor="text1"/>
                <w:sz w:val="24"/>
                <w:szCs w:val="24"/>
              </w:rPr>
              <w:t>exclusão</w:t>
            </w:r>
            <w:r w:rsidRPr="00872785">
              <w:rPr>
                <w:rFonts w:ascii="Arial" w:hAnsi="Arial" w:cs="Arial"/>
                <w:color w:val="000000" w:themeColor="text1"/>
                <w:sz w:val="24"/>
                <w:szCs w:val="24"/>
              </w:rPr>
              <w:t xml:space="preserve"> </w:t>
            </w:r>
            <w:r>
              <w:rPr>
                <w:rFonts w:ascii="Arial" w:hAnsi="Arial" w:cs="Arial"/>
                <w:color w:val="000000" w:themeColor="text1"/>
                <w:sz w:val="24"/>
                <w:szCs w:val="24"/>
              </w:rPr>
              <w:t>resultaria não somente na redução das barreiras de entrada aos novos entrantes, como também contribuiria para redução do custo regulatório.</w:t>
            </w:r>
          </w:p>
          <w:p w:rsidR="0045478F" w:rsidRDefault="0045478F" w:rsidP="003D5D42">
            <w:pPr>
              <w:rPr>
                <w:rFonts w:ascii="Arial" w:hAnsi="Arial" w:cs="Arial"/>
                <w:color w:val="000000" w:themeColor="text1"/>
                <w:sz w:val="24"/>
                <w:szCs w:val="24"/>
              </w:rPr>
            </w:pPr>
          </w:p>
          <w:p w:rsidR="0045478F" w:rsidRDefault="0045478F" w:rsidP="003D5D42">
            <w:pPr>
              <w:rPr>
                <w:rFonts w:ascii="Arial" w:hAnsi="Arial" w:cs="Arial"/>
                <w:color w:val="000000" w:themeColor="text1"/>
                <w:sz w:val="24"/>
                <w:szCs w:val="24"/>
              </w:rPr>
            </w:pPr>
            <w:r>
              <w:rPr>
                <w:rFonts w:ascii="Arial" w:hAnsi="Arial" w:cs="Arial"/>
                <w:color w:val="000000" w:themeColor="text1"/>
                <w:sz w:val="24"/>
                <w:szCs w:val="24"/>
              </w:rPr>
              <w:t xml:space="preserve">Para isso, o setor precisaria ter um observatório para acompanhamento contínuo das condições dos operadores, agentes financeiros, do mercado, pois essas variáveis impactarão no nível de proteção para a União e no nível de risco sobre os concessionários e agentes financeiros (emissores de </w:t>
            </w:r>
            <w:proofErr w:type="spellStart"/>
            <w:r>
              <w:rPr>
                <w:rFonts w:ascii="Arial" w:hAnsi="Arial" w:cs="Arial"/>
                <w:color w:val="000000" w:themeColor="text1"/>
                <w:sz w:val="24"/>
                <w:szCs w:val="24"/>
              </w:rPr>
              <w:t>GFs</w:t>
            </w:r>
            <w:proofErr w:type="spellEnd"/>
            <w:r>
              <w:rPr>
                <w:rFonts w:ascii="Arial" w:hAnsi="Arial" w:cs="Arial"/>
                <w:color w:val="000000" w:themeColor="text1"/>
                <w:sz w:val="24"/>
                <w:szCs w:val="24"/>
              </w:rPr>
              <w:t>).</w:t>
            </w:r>
          </w:p>
          <w:p w:rsidR="00377611" w:rsidRDefault="00377611" w:rsidP="003D5D42">
            <w:pPr>
              <w:rPr>
                <w:rFonts w:ascii="Arial" w:hAnsi="Arial" w:cs="Arial"/>
                <w:color w:val="000000" w:themeColor="text1"/>
                <w:sz w:val="24"/>
                <w:szCs w:val="24"/>
              </w:rPr>
            </w:pPr>
          </w:p>
          <w:p w:rsidR="00377611" w:rsidRPr="00872785" w:rsidRDefault="00377611" w:rsidP="003D5D42">
            <w:r>
              <w:rPr>
                <w:rFonts w:ascii="Arial" w:hAnsi="Arial" w:cs="Arial"/>
                <w:color w:val="000000" w:themeColor="text1"/>
                <w:sz w:val="24"/>
                <w:szCs w:val="24"/>
              </w:rPr>
              <w:t xml:space="preserve">Portanto, </w:t>
            </w:r>
            <w:proofErr w:type="spellStart"/>
            <w:r>
              <w:rPr>
                <w:rFonts w:ascii="Arial" w:hAnsi="Arial" w:cs="Arial"/>
                <w:color w:val="000000" w:themeColor="text1"/>
                <w:sz w:val="24"/>
                <w:szCs w:val="24"/>
              </w:rPr>
              <w:t>esta</w:t>
            </w:r>
            <w:proofErr w:type="spellEnd"/>
            <w:r>
              <w:rPr>
                <w:rFonts w:ascii="Arial" w:hAnsi="Arial" w:cs="Arial"/>
                <w:color w:val="000000" w:themeColor="text1"/>
                <w:sz w:val="24"/>
                <w:szCs w:val="24"/>
              </w:rPr>
              <w:t xml:space="preserve"> clausula deveria ser alterada para contemplar um processo de qualificação (</w:t>
            </w:r>
            <w:r w:rsidRPr="00CD29FA">
              <w:rPr>
                <w:rFonts w:ascii="Arial" w:hAnsi="Arial" w:cs="Arial"/>
                <w:i/>
                <w:color w:val="000000" w:themeColor="text1"/>
                <w:sz w:val="24"/>
                <w:szCs w:val="24"/>
              </w:rPr>
              <w:t>rating</w:t>
            </w:r>
            <w:r>
              <w:rPr>
                <w:rFonts w:ascii="Arial" w:hAnsi="Arial" w:cs="Arial"/>
                <w:color w:val="000000" w:themeColor="text1"/>
                <w:sz w:val="24"/>
                <w:szCs w:val="24"/>
              </w:rPr>
              <w:t>) do novo entrante, resultando em uma matriz de risco para definição no valor da garantia, quando necessário.</w:t>
            </w:r>
          </w:p>
        </w:tc>
      </w:tr>
      <w:tr w:rsidR="004F0B12" w:rsidRPr="00932C2C" w:rsidTr="002442E2">
        <w:trPr>
          <w:trHeight w:val="2268"/>
        </w:trPr>
        <w:tc>
          <w:tcPr>
            <w:tcW w:w="542" w:type="pct"/>
            <w:vAlign w:val="center"/>
          </w:tcPr>
          <w:p w:rsidR="004F0B12" w:rsidRPr="000C0894" w:rsidRDefault="004F0B12" w:rsidP="00A94E9A">
            <w:pPr>
              <w:pStyle w:val="Legenda"/>
              <w:jc w:val="center"/>
              <w:rPr>
                <w:rFonts w:cs="Arial"/>
                <w:color w:val="000000" w:themeColor="text1"/>
                <w:szCs w:val="24"/>
              </w:rPr>
            </w:pPr>
            <w:r>
              <w:rPr>
                <w:rFonts w:cs="Arial"/>
                <w:color w:val="000000" w:themeColor="text1"/>
                <w:szCs w:val="24"/>
              </w:rPr>
              <w:lastRenderedPageBreak/>
              <w:t>Minuta de Contrato</w:t>
            </w:r>
          </w:p>
        </w:tc>
        <w:tc>
          <w:tcPr>
            <w:tcW w:w="537" w:type="pct"/>
            <w:vAlign w:val="center"/>
          </w:tcPr>
          <w:p w:rsidR="004F0B12" w:rsidRPr="000C0894" w:rsidRDefault="004F0B12" w:rsidP="00A94E9A">
            <w:pPr>
              <w:pStyle w:val="Legenda"/>
              <w:jc w:val="center"/>
              <w:rPr>
                <w:rFonts w:cs="Arial"/>
                <w:color w:val="000000" w:themeColor="text1"/>
                <w:szCs w:val="24"/>
              </w:rPr>
            </w:pPr>
            <w:r>
              <w:rPr>
                <w:rFonts w:cs="Arial"/>
                <w:color w:val="000000" w:themeColor="text1"/>
                <w:szCs w:val="24"/>
              </w:rPr>
              <w:t>Inclusão</w:t>
            </w:r>
          </w:p>
        </w:tc>
        <w:tc>
          <w:tcPr>
            <w:tcW w:w="537" w:type="pct"/>
            <w:vAlign w:val="center"/>
          </w:tcPr>
          <w:p w:rsidR="004F0B12" w:rsidRPr="000C0894" w:rsidRDefault="004F0B12" w:rsidP="00A94E9A">
            <w:pPr>
              <w:pStyle w:val="Legenda"/>
              <w:jc w:val="center"/>
              <w:rPr>
                <w:rFonts w:cs="Arial"/>
                <w:color w:val="000000" w:themeColor="text1"/>
                <w:szCs w:val="24"/>
              </w:rPr>
            </w:pPr>
            <w:r>
              <w:rPr>
                <w:rFonts w:cs="Arial"/>
                <w:color w:val="000000" w:themeColor="text1"/>
                <w:szCs w:val="24"/>
              </w:rPr>
              <w:t>6.6</w:t>
            </w:r>
          </w:p>
        </w:tc>
        <w:tc>
          <w:tcPr>
            <w:tcW w:w="1746" w:type="pct"/>
            <w:vAlign w:val="center"/>
          </w:tcPr>
          <w:p w:rsidR="004F0B12" w:rsidRPr="000C0894" w:rsidRDefault="00323D25" w:rsidP="00323D25">
            <w:pPr>
              <w:pStyle w:val="Legenda"/>
              <w:jc w:val="both"/>
              <w:rPr>
                <w:rFonts w:cs="Arial"/>
                <w:color w:val="000000" w:themeColor="text1"/>
                <w:szCs w:val="24"/>
              </w:rPr>
            </w:pPr>
            <w:r>
              <w:rPr>
                <w:rFonts w:cs="Arial"/>
                <w:color w:val="000000" w:themeColor="text1"/>
                <w:szCs w:val="24"/>
              </w:rPr>
              <w:t>Em relação ao PEM, i</w:t>
            </w:r>
            <w:r w:rsidR="004F0B12">
              <w:rPr>
                <w:rFonts w:cs="Arial"/>
                <w:color w:val="000000" w:themeColor="text1"/>
                <w:szCs w:val="24"/>
              </w:rPr>
              <w:t>ncluir a possibilidade de “</w:t>
            </w:r>
            <w:r w:rsidR="004F0B12" w:rsidRPr="004F0B12">
              <w:rPr>
                <w:rFonts w:cs="Arial"/>
                <w:color w:val="000000" w:themeColor="text1"/>
                <w:szCs w:val="24"/>
              </w:rPr>
              <w:t>outras formas de garantia, a critério da ANP</w:t>
            </w:r>
            <w:r w:rsidR="004F0B12">
              <w:rPr>
                <w:rFonts w:cs="Arial"/>
                <w:color w:val="000000" w:themeColor="text1"/>
                <w:szCs w:val="24"/>
              </w:rPr>
              <w:t>”, conforme item 18.8</w:t>
            </w:r>
          </w:p>
        </w:tc>
        <w:tc>
          <w:tcPr>
            <w:tcW w:w="1638" w:type="pct"/>
            <w:vAlign w:val="center"/>
          </w:tcPr>
          <w:p w:rsidR="003D5D42" w:rsidRDefault="003D5D42" w:rsidP="003D5D42">
            <w:pPr>
              <w:pStyle w:val="Legenda"/>
              <w:rPr>
                <w:rFonts w:cs="Arial"/>
                <w:color w:val="000000" w:themeColor="text1"/>
                <w:szCs w:val="24"/>
              </w:rPr>
            </w:pPr>
            <w:r w:rsidRPr="003D5D42">
              <w:rPr>
                <w:rFonts w:cs="Arial"/>
                <w:color w:val="000000" w:themeColor="text1"/>
                <w:szCs w:val="24"/>
              </w:rPr>
              <w:t xml:space="preserve">Atualmente, existe uma grande variedade de instrumentos de garantia financeira disponíveis, oferecendo ótima flexibilidade, atendendo as necessidades do setor, e </w:t>
            </w:r>
            <w:r>
              <w:rPr>
                <w:rFonts w:cs="Arial"/>
                <w:color w:val="000000" w:themeColor="text1"/>
                <w:szCs w:val="24"/>
              </w:rPr>
              <w:t>atendendo, quando necessário, as demandas de salvaguarda da União</w:t>
            </w:r>
            <w:r w:rsidRPr="003D5D42">
              <w:rPr>
                <w:rFonts w:cs="Arial"/>
                <w:color w:val="000000" w:themeColor="text1"/>
                <w:szCs w:val="24"/>
              </w:rPr>
              <w:t xml:space="preserve">. </w:t>
            </w:r>
          </w:p>
          <w:p w:rsidR="00377611" w:rsidRPr="00377611" w:rsidRDefault="00377611" w:rsidP="00377611"/>
          <w:p w:rsidR="003D5D42" w:rsidRDefault="003D5D42" w:rsidP="003D5D42">
            <w:pPr>
              <w:pStyle w:val="Legenda"/>
              <w:rPr>
                <w:rFonts w:cs="Arial"/>
                <w:color w:val="000000" w:themeColor="text1"/>
                <w:szCs w:val="24"/>
              </w:rPr>
            </w:pPr>
            <w:r w:rsidRPr="003D5D42">
              <w:rPr>
                <w:rFonts w:cs="Arial"/>
                <w:color w:val="000000" w:themeColor="text1"/>
                <w:szCs w:val="24"/>
              </w:rPr>
              <w:t xml:space="preserve">A </w:t>
            </w:r>
            <w:r>
              <w:rPr>
                <w:rFonts w:cs="Arial"/>
                <w:color w:val="000000" w:themeColor="text1"/>
                <w:szCs w:val="24"/>
              </w:rPr>
              <w:t xml:space="preserve">oferta de poucas modalidades de </w:t>
            </w:r>
            <w:proofErr w:type="spellStart"/>
            <w:r>
              <w:rPr>
                <w:rFonts w:cs="Arial"/>
                <w:color w:val="000000" w:themeColor="text1"/>
                <w:szCs w:val="24"/>
              </w:rPr>
              <w:t>GFs</w:t>
            </w:r>
            <w:proofErr w:type="spellEnd"/>
            <w:r>
              <w:rPr>
                <w:rFonts w:cs="Arial"/>
                <w:color w:val="000000" w:themeColor="text1"/>
                <w:szCs w:val="24"/>
              </w:rPr>
              <w:t xml:space="preserve"> não </w:t>
            </w:r>
            <w:r w:rsidRPr="003D5D42">
              <w:rPr>
                <w:rFonts w:cs="Arial"/>
                <w:color w:val="000000" w:themeColor="text1"/>
                <w:szCs w:val="24"/>
              </w:rPr>
              <w:t xml:space="preserve">reduz riscos e custos </w:t>
            </w:r>
            <w:r>
              <w:rPr>
                <w:rFonts w:cs="Arial"/>
                <w:color w:val="000000" w:themeColor="text1"/>
                <w:szCs w:val="24"/>
              </w:rPr>
              <w:t>r</w:t>
            </w:r>
            <w:r w:rsidR="00CD29FA">
              <w:rPr>
                <w:rFonts w:cs="Arial"/>
                <w:color w:val="000000" w:themeColor="text1"/>
                <w:szCs w:val="24"/>
              </w:rPr>
              <w:t>e</w:t>
            </w:r>
            <w:r>
              <w:rPr>
                <w:rFonts w:cs="Arial"/>
                <w:color w:val="000000" w:themeColor="text1"/>
                <w:szCs w:val="24"/>
              </w:rPr>
              <w:t>gulatórios</w:t>
            </w:r>
            <w:r w:rsidR="00AB2A5D">
              <w:rPr>
                <w:rFonts w:cs="Arial"/>
                <w:color w:val="000000" w:themeColor="text1"/>
                <w:szCs w:val="24"/>
              </w:rPr>
              <w:t xml:space="preserve"> para a agência. U</w:t>
            </w:r>
            <w:r w:rsidRPr="003D5D42">
              <w:rPr>
                <w:rFonts w:cs="Arial"/>
                <w:color w:val="000000" w:themeColor="text1"/>
                <w:szCs w:val="24"/>
              </w:rPr>
              <w:t xml:space="preserve">m nível adequado de flexibilidade deve ser oferecido a fim de manter o setor competitivo e atrativo para novos investimentos. </w:t>
            </w:r>
            <w:r w:rsidR="00AB2A5D">
              <w:rPr>
                <w:rFonts w:cs="Arial"/>
                <w:color w:val="000000" w:themeColor="text1"/>
                <w:szCs w:val="24"/>
              </w:rPr>
              <w:t>Portanto, outros instrumentos deveriam ser considerados</w:t>
            </w:r>
            <w:r w:rsidR="001563CE">
              <w:rPr>
                <w:rFonts w:cs="Arial"/>
                <w:color w:val="000000" w:themeColor="text1"/>
                <w:szCs w:val="24"/>
              </w:rPr>
              <w:t xml:space="preserve"> para garantir o PEM</w:t>
            </w:r>
            <w:r w:rsidR="00AB2A5D">
              <w:rPr>
                <w:rFonts w:cs="Arial"/>
                <w:color w:val="000000" w:themeColor="text1"/>
                <w:szCs w:val="24"/>
              </w:rPr>
              <w:t xml:space="preserve">, conforme ocorre nas </w:t>
            </w:r>
            <w:proofErr w:type="spellStart"/>
            <w:r w:rsidR="00AB2A5D">
              <w:rPr>
                <w:rFonts w:cs="Arial"/>
                <w:color w:val="000000" w:themeColor="text1"/>
                <w:szCs w:val="24"/>
              </w:rPr>
              <w:t>GFs</w:t>
            </w:r>
            <w:proofErr w:type="spellEnd"/>
            <w:r w:rsidR="00AB2A5D">
              <w:rPr>
                <w:rFonts w:cs="Arial"/>
                <w:color w:val="000000" w:themeColor="text1"/>
                <w:szCs w:val="24"/>
              </w:rPr>
              <w:t xml:space="preserve"> de Desativação e Abandono, quando necessário.</w:t>
            </w:r>
          </w:p>
          <w:p w:rsidR="00377611" w:rsidRPr="00377611" w:rsidRDefault="00377611" w:rsidP="00377611"/>
          <w:p w:rsidR="004F0B12" w:rsidRPr="000C0894" w:rsidRDefault="003D5D42" w:rsidP="00AB2A5D">
            <w:pPr>
              <w:pStyle w:val="Legenda"/>
              <w:rPr>
                <w:rFonts w:cs="Arial"/>
                <w:color w:val="000000" w:themeColor="text1"/>
                <w:szCs w:val="24"/>
              </w:rPr>
            </w:pPr>
            <w:r w:rsidRPr="003D5D42">
              <w:rPr>
                <w:rFonts w:cs="Arial"/>
                <w:color w:val="000000" w:themeColor="text1"/>
                <w:szCs w:val="24"/>
              </w:rPr>
              <w:t xml:space="preserve">Os instrumentos de garantia financeira possuem características e atributos distintos que provocam diferentes impactos nas partes envolvidas. </w:t>
            </w:r>
            <w:r w:rsidR="00AB2A5D">
              <w:rPr>
                <w:rFonts w:cs="Arial"/>
                <w:color w:val="000000" w:themeColor="text1"/>
                <w:szCs w:val="24"/>
              </w:rPr>
              <w:t>Entendemos que a</w:t>
            </w:r>
            <w:r w:rsidRPr="003D5D42">
              <w:rPr>
                <w:rFonts w:cs="Arial"/>
                <w:color w:val="000000" w:themeColor="text1"/>
                <w:szCs w:val="24"/>
              </w:rPr>
              <w:t xml:space="preserve">s principais preocupações na perspectiva do órgão regulador são: nível de liquidez; nível de dificuldade em se coletar os recursos em caso de descumprimento; nível de monitoramento exigido; nível de incentivo financeiro gerado; qualificação dos candidatos (desencorajar os </w:t>
            </w:r>
            <w:r w:rsidRPr="003D5D42">
              <w:rPr>
                <w:rFonts w:cs="Arial"/>
                <w:color w:val="000000" w:themeColor="text1"/>
                <w:szCs w:val="24"/>
              </w:rPr>
              <w:lastRenderedPageBreak/>
              <w:t xml:space="preserve">desqualificados); e o custo geral do </w:t>
            </w:r>
            <w:r w:rsidR="00AB2A5D">
              <w:rPr>
                <w:rFonts w:cs="Arial"/>
                <w:color w:val="000000" w:themeColor="text1"/>
                <w:szCs w:val="24"/>
              </w:rPr>
              <w:t xml:space="preserve">acompanhamento da eficácia do </w:t>
            </w:r>
            <w:r w:rsidRPr="003D5D42">
              <w:rPr>
                <w:rFonts w:cs="Arial"/>
                <w:color w:val="000000" w:themeColor="text1"/>
                <w:szCs w:val="24"/>
              </w:rPr>
              <w:t>instrumento</w:t>
            </w:r>
            <w:r w:rsidR="00AB2A5D">
              <w:rPr>
                <w:rFonts w:cs="Arial"/>
                <w:color w:val="000000" w:themeColor="text1"/>
                <w:szCs w:val="24"/>
              </w:rPr>
              <w:t xml:space="preserve"> para a União</w:t>
            </w:r>
            <w:r w:rsidRPr="003D5D42">
              <w:rPr>
                <w:rFonts w:cs="Arial"/>
                <w:color w:val="000000" w:themeColor="text1"/>
                <w:szCs w:val="24"/>
              </w:rPr>
              <w:t>. Na perspectiva da indústria, as principais preocupações são: volume de capital mobilizado no início do projeto (liquidez); proteção do dinheiro mobilizado (juros?); custos de oportunidade; nível de dificuldade na aquisição do instrumento (processos de pré-qualificação); tratamento fiscal (permite deduções?); disponibilização no mercado</w:t>
            </w:r>
            <w:r>
              <w:rPr>
                <w:rFonts w:cs="Arial"/>
                <w:color w:val="000000" w:themeColor="text1"/>
                <w:szCs w:val="24"/>
              </w:rPr>
              <w:t>; e custos diretos e indiretos.</w:t>
            </w:r>
          </w:p>
        </w:tc>
      </w:tr>
      <w:tr w:rsidR="002B3A43" w:rsidRPr="00932C2C" w:rsidTr="002442E2">
        <w:trPr>
          <w:trHeight w:val="2268"/>
        </w:trPr>
        <w:tc>
          <w:tcPr>
            <w:tcW w:w="542" w:type="pct"/>
            <w:vAlign w:val="center"/>
          </w:tcPr>
          <w:p w:rsidR="002B3A43" w:rsidRPr="000C0894" w:rsidRDefault="002B3A43" w:rsidP="00A94E9A">
            <w:pPr>
              <w:pStyle w:val="Legenda"/>
              <w:jc w:val="center"/>
              <w:rPr>
                <w:rFonts w:cs="Arial"/>
                <w:color w:val="000000" w:themeColor="text1"/>
                <w:szCs w:val="24"/>
              </w:rPr>
            </w:pPr>
            <w:r>
              <w:rPr>
                <w:rFonts w:cs="Arial"/>
                <w:color w:val="000000" w:themeColor="text1"/>
                <w:szCs w:val="24"/>
              </w:rPr>
              <w:lastRenderedPageBreak/>
              <w:t>Minuta de Contrato</w:t>
            </w:r>
          </w:p>
        </w:tc>
        <w:tc>
          <w:tcPr>
            <w:tcW w:w="537" w:type="pct"/>
            <w:vAlign w:val="center"/>
          </w:tcPr>
          <w:p w:rsidR="002B3A43" w:rsidRPr="000C0894" w:rsidRDefault="002B3A43" w:rsidP="00A94E9A">
            <w:pPr>
              <w:pStyle w:val="Legenda"/>
              <w:jc w:val="center"/>
              <w:rPr>
                <w:rFonts w:cs="Arial"/>
                <w:color w:val="000000" w:themeColor="text1"/>
                <w:szCs w:val="24"/>
              </w:rPr>
            </w:pPr>
            <w:r>
              <w:rPr>
                <w:rFonts w:cs="Arial"/>
                <w:color w:val="000000" w:themeColor="text1"/>
                <w:szCs w:val="24"/>
              </w:rPr>
              <w:t>Exclusão</w:t>
            </w:r>
          </w:p>
        </w:tc>
        <w:tc>
          <w:tcPr>
            <w:tcW w:w="537" w:type="pct"/>
            <w:vAlign w:val="center"/>
          </w:tcPr>
          <w:p w:rsidR="002B3A43" w:rsidRPr="000C0894" w:rsidRDefault="002B3A43" w:rsidP="00A94E9A">
            <w:pPr>
              <w:pStyle w:val="Legenda"/>
              <w:jc w:val="center"/>
              <w:rPr>
                <w:rFonts w:cs="Arial"/>
                <w:color w:val="000000" w:themeColor="text1"/>
                <w:szCs w:val="24"/>
              </w:rPr>
            </w:pPr>
            <w:r>
              <w:rPr>
                <w:rFonts w:cs="Arial"/>
                <w:color w:val="000000" w:themeColor="text1"/>
                <w:szCs w:val="24"/>
              </w:rPr>
              <w:t>18.8</w:t>
            </w:r>
          </w:p>
        </w:tc>
        <w:tc>
          <w:tcPr>
            <w:tcW w:w="1746" w:type="pct"/>
            <w:vAlign w:val="center"/>
          </w:tcPr>
          <w:p w:rsidR="002B3A43" w:rsidRPr="000C0894" w:rsidRDefault="002B3A43" w:rsidP="007E72D7">
            <w:pPr>
              <w:pStyle w:val="Legenda"/>
              <w:jc w:val="both"/>
              <w:rPr>
                <w:rFonts w:cs="Arial"/>
                <w:color w:val="000000" w:themeColor="text1"/>
                <w:szCs w:val="24"/>
              </w:rPr>
            </w:pPr>
            <w:r>
              <w:rPr>
                <w:rFonts w:cs="Arial"/>
                <w:color w:val="000000" w:themeColor="text1"/>
                <w:szCs w:val="24"/>
              </w:rPr>
              <w:t xml:space="preserve">Suprimir a </w:t>
            </w:r>
            <w:r w:rsidR="007E72D7">
              <w:rPr>
                <w:rFonts w:cs="Arial"/>
                <w:color w:val="000000" w:themeColor="text1"/>
                <w:szCs w:val="24"/>
              </w:rPr>
              <w:t xml:space="preserve">obrigatoriedade </w:t>
            </w:r>
            <w:r>
              <w:rPr>
                <w:rFonts w:cs="Arial"/>
                <w:color w:val="000000" w:themeColor="text1"/>
                <w:szCs w:val="24"/>
              </w:rPr>
              <w:t>de Garantia de Financeira (</w:t>
            </w:r>
            <w:r w:rsidR="005A555B">
              <w:rPr>
                <w:rFonts w:cs="Arial"/>
                <w:color w:val="000000" w:themeColor="text1"/>
                <w:szCs w:val="24"/>
              </w:rPr>
              <w:t>Desativação e Abandono)</w:t>
            </w:r>
            <w:r>
              <w:rPr>
                <w:rFonts w:cs="Arial"/>
                <w:color w:val="000000" w:themeColor="text1"/>
                <w:szCs w:val="24"/>
              </w:rPr>
              <w:t xml:space="preserve"> para agentes (concessionários e demais contratados) com contratos de E&amp;P vigentes com a Uni</w:t>
            </w:r>
            <w:r w:rsidR="007E72D7">
              <w:rPr>
                <w:rFonts w:cs="Arial"/>
                <w:color w:val="000000" w:themeColor="text1"/>
                <w:szCs w:val="24"/>
              </w:rPr>
              <w:t>ão, quando estas se mostrarem desnecessárias.</w:t>
            </w:r>
          </w:p>
        </w:tc>
        <w:tc>
          <w:tcPr>
            <w:tcW w:w="1638" w:type="pct"/>
            <w:vAlign w:val="center"/>
          </w:tcPr>
          <w:p w:rsidR="002B3A43" w:rsidRDefault="002B3A43" w:rsidP="00A94E9A">
            <w:pPr>
              <w:pStyle w:val="Legenda"/>
              <w:rPr>
                <w:rFonts w:cs="Arial"/>
                <w:color w:val="000000" w:themeColor="text1"/>
                <w:szCs w:val="24"/>
              </w:rPr>
            </w:pPr>
            <w:r>
              <w:rPr>
                <w:rFonts w:cs="Arial"/>
                <w:color w:val="000000" w:themeColor="text1"/>
                <w:szCs w:val="24"/>
              </w:rPr>
              <w:t xml:space="preserve">As Garantias Financeiras (GF) tem o objetivo de salvaguardar a União de: </w:t>
            </w:r>
            <w:r w:rsidRPr="00E34CD2">
              <w:rPr>
                <w:rFonts w:cs="Arial"/>
                <w:color w:val="000000" w:themeColor="text1"/>
                <w:szCs w:val="24"/>
              </w:rPr>
              <w:t>Insolvência;</w:t>
            </w:r>
            <w:r>
              <w:rPr>
                <w:rFonts w:cs="Arial"/>
                <w:color w:val="000000" w:themeColor="text1"/>
                <w:szCs w:val="24"/>
              </w:rPr>
              <w:t xml:space="preserve"> mudanças de </w:t>
            </w:r>
            <w:r w:rsidRPr="00E34CD2">
              <w:rPr>
                <w:rFonts w:cs="Arial"/>
                <w:color w:val="000000" w:themeColor="text1"/>
                <w:szCs w:val="24"/>
              </w:rPr>
              <w:t>Mercado;</w:t>
            </w:r>
            <w:r>
              <w:rPr>
                <w:rFonts w:cs="Arial"/>
                <w:color w:val="000000" w:themeColor="text1"/>
                <w:szCs w:val="24"/>
              </w:rPr>
              <w:t xml:space="preserve"> </w:t>
            </w:r>
            <w:r w:rsidRPr="00E34CD2">
              <w:rPr>
                <w:rFonts w:cs="Arial"/>
                <w:color w:val="000000" w:themeColor="text1"/>
                <w:szCs w:val="24"/>
              </w:rPr>
              <w:t>Indisponibilidade de recursos;</w:t>
            </w:r>
            <w:r>
              <w:rPr>
                <w:rFonts w:cs="Arial"/>
                <w:color w:val="000000" w:themeColor="text1"/>
                <w:szCs w:val="24"/>
              </w:rPr>
              <w:t xml:space="preserve"> </w:t>
            </w:r>
            <w:r w:rsidRPr="00E34CD2">
              <w:rPr>
                <w:rFonts w:cs="Arial"/>
                <w:color w:val="000000" w:themeColor="text1"/>
                <w:szCs w:val="24"/>
              </w:rPr>
              <w:t>Negligência</w:t>
            </w:r>
            <w:r>
              <w:rPr>
                <w:rFonts w:cs="Arial"/>
                <w:color w:val="000000" w:themeColor="text1"/>
                <w:szCs w:val="24"/>
              </w:rPr>
              <w:t xml:space="preserve">; etc. Parece-nos inadequado a exigência de GF para agentes com contratos vigentes com a União, pois bastaria verificar as condições técnicas, econômicas e jurídicas. Isto já é feito no acompanhamento dos contratos e na qualificação da empresa. </w:t>
            </w:r>
          </w:p>
          <w:p w:rsidR="002B3A43" w:rsidRDefault="002B3A43" w:rsidP="00A94E9A">
            <w:pPr>
              <w:pStyle w:val="Legenda"/>
              <w:rPr>
                <w:rFonts w:cs="Arial"/>
                <w:color w:val="000000" w:themeColor="text1"/>
                <w:szCs w:val="24"/>
              </w:rPr>
            </w:pPr>
          </w:p>
          <w:p w:rsidR="002B3A43" w:rsidRDefault="002B3A43" w:rsidP="00A94E9A">
            <w:pPr>
              <w:pStyle w:val="Legenda"/>
              <w:rPr>
                <w:rFonts w:cs="Arial"/>
                <w:color w:val="000000" w:themeColor="text1"/>
                <w:szCs w:val="24"/>
              </w:rPr>
            </w:pPr>
            <w:r>
              <w:rPr>
                <w:rFonts w:cs="Arial"/>
                <w:color w:val="000000" w:themeColor="text1"/>
                <w:szCs w:val="24"/>
              </w:rPr>
              <w:t>No cenário atual de redução do fluxo de investimento</w:t>
            </w:r>
            <w:r w:rsidR="00CD29FA">
              <w:rPr>
                <w:rFonts w:cs="Arial"/>
                <w:color w:val="000000" w:themeColor="text1"/>
                <w:szCs w:val="24"/>
              </w:rPr>
              <w:t xml:space="preserve"> e baixa disponibilidade de crédito</w:t>
            </w:r>
            <w:r>
              <w:rPr>
                <w:rFonts w:cs="Arial"/>
                <w:color w:val="000000" w:themeColor="text1"/>
                <w:szCs w:val="24"/>
              </w:rPr>
              <w:t xml:space="preserve">, existe uma necessidade de manutenção da capacidade da empresa de contrair investimentos. Mesmo como instrumentos de médio </w:t>
            </w:r>
            <w:r w:rsidR="005A555B">
              <w:rPr>
                <w:rFonts w:cs="Arial"/>
                <w:color w:val="000000" w:themeColor="text1"/>
                <w:szCs w:val="24"/>
              </w:rPr>
              <w:t xml:space="preserve">e longo </w:t>
            </w:r>
            <w:r>
              <w:rPr>
                <w:rFonts w:cs="Arial"/>
                <w:color w:val="000000" w:themeColor="text1"/>
                <w:szCs w:val="24"/>
              </w:rPr>
              <w:t xml:space="preserve">prazos </w:t>
            </w:r>
            <w:r>
              <w:rPr>
                <w:rFonts w:cs="Arial"/>
                <w:color w:val="000000" w:themeColor="text1"/>
                <w:szCs w:val="24"/>
              </w:rPr>
              <w:lastRenderedPageBreak/>
              <w:t xml:space="preserve">(Garantias de </w:t>
            </w:r>
            <w:r w:rsidR="005A555B">
              <w:rPr>
                <w:rFonts w:cs="Arial"/>
                <w:color w:val="000000" w:themeColor="text1"/>
                <w:szCs w:val="24"/>
              </w:rPr>
              <w:t>(Desativação e Abandono</w:t>
            </w:r>
            <w:r>
              <w:rPr>
                <w:rFonts w:cs="Arial"/>
                <w:color w:val="000000" w:themeColor="text1"/>
                <w:szCs w:val="24"/>
              </w:rPr>
              <w:t>) são vistas por agentes financeiros como um fator de comprometimento financeiro.</w:t>
            </w:r>
          </w:p>
          <w:p w:rsidR="002B3A43" w:rsidRPr="00872785" w:rsidRDefault="002B3A43" w:rsidP="00A94E9A">
            <w:pPr>
              <w:rPr>
                <w:rFonts w:ascii="Arial" w:hAnsi="Arial" w:cs="Arial"/>
                <w:color w:val="000000" w:themeColor="text1"/>
                <w:sz w:val="24"/>
                <w:szCs w:val="24"/>
              </w:rPr>
            </w:pPr>
          </w:p>
          <w:p w:rsidR="002B3A43" w:rsidRDefault="002B3A43" w:rsidP="00A94E9A">
            <w:pPr>
              <w:rPr>
                <w:rFonts w:ascii="Arial" w:hAnsi="Arial" w:cs="Arial"/>
                <w:color w:val="000000" w:themeColor="text1"/>
                <w:sz w:val="24"/>
                <w:szCs w:val="24"/>
              </w:rPr>
            </w:pPr>
            <w:r>
              <w:rPr>
                <w:rFonts w:ascii="Arial" w:hAnsi="Arial" w:cs="Arial"/>
                <w:color w:val="000000" w:themeColor="text1"/>
                <w:sz w:val="24"/>
                <w:szCs w:val="24"/>
              </w:rPr>
              <w:t>Es</w:t>
            </w:r>
            <w:r w:rsidRPr="00872785">
              <w:rPr>
                <w:rFonts w:ascii="Arial" w:hAnsi="Arial" w:cs="Arial"/>
                <w:color w:val="000000" w:themeColor="text1"/>
                <w:sz w:val="24"/>
                <w:szCs w:val="24"/>
              </w:rPr>
              <w:t xml:space="preserve">ta </w:t>
            </w:r>
            <w:r>
              <w:rPr>
                <w:rFonts w:ascii="Arial" w:hAnsi="Arial" w:cs="Arial"/>
                <w:color w:val="000000" w:themeColor="text1"/>
                <w:sz w:val="24"/>
                <w:szCs w:val="24"/>
              </w:rPr>
              <w:t>exclusão</w:t>
            </w:r>
            <w:r w:rsidRPr="00872785">
              <w:rPr>
                <w:rFonts w:ascii="Arial" w:hAnsi="Arial" w:cs="Arial"/>
                <w:color w:val="000000" w:themeColor="text1"/>
                <w:sz w:val="24"/>
                <w:szCs w:val="24"/>
              </w:rPr>
              <w:t xml:space="preserve"> </w:t>
            </w:r>
            <w:r>
              <w:rPr>
                <w:rFonts w:ascii="Arial" w:hAnsi="Arial" w:cs="Arial"/>
                <w:color w:val="000000" w:themeColor="text1"/>
                <w:sz w:val="24"/>
                <w:szCs w:val="24"/>
              </w:rPr>
              <w:t>resultaria não somente na redução de custos financeiros dos operadores, como também contribuiria para redução do custo regulatório.</w:t>
            </w:r>
          </w:p>
          <w:p w:rsidR="002B3A43" w:rsidRDefault="002B3A43" w:rsidP="00A94E9A">
            <w:pPr>
              <w:rPr>
                <w:rFonts w:ascii="Arial" w:hAnsi="Arial" w:cs="Arial"/>
                <w:color w:val="000000" w:themeColor="text1"/>
                <w:sz w:val="24"/>
                <w:szCs w:val="24"/>
              </w:rPr>
            </w:pPr>
          </w:p>
          <w:p w:rsidR="002B3A43" w:rsidRPr="000C0894" w:rsidRDefault="002B3A43" w:rsidP="004230FD">
            <w:pPr>
              <w:pStyle w:val="Legenda"/>
              <w:rPr>
                <w:rFonts w:cs="Arial"/>
                <w:color w:val="000000" w:themeColor="text1"/>
                <w:szCs w:val="24"/>
              </w:rPr>
            </w:pPr>
            <w:r>
              <w:rPr>
                <w:rFonts w:cs="Arial"/>
                <w:color w:val="000000" w:themeColor="text1"/>
                <w:szCs w:val="24"/>
              </w:rPr>
              <w:t xml:space="preserve">Recomenda-se que setor tenha um observatório para acompanhamento contínuo das condições dos operadores, agentes financeiros, do mercado, pois essas variáveis impactarão no nível de proteção para a União e no nível de risco sobre os concessionários e agentes financeiros (emissores de </w:t>
            </w:r>
            <w:proofErr w:type="spellStart"/>
            <w:r>
              <w:rPr>
                <w:rFonts w:cs="Arial"/>
                <w:color w:val="000000" w:themeColor="text1"/>
                <w:szCs w:val="24"/>
              </w:rPr>
              <w:t>GFs</w:t>
            </w:r>
            <w:proofErr w:type="spellEnd"/>
            <w:r>
              <w:rPr>
                <w:rFonts w:cs="Arial"/>
                <w:color w:val="000000" w:themeColor="text1"/>
                <w:szCs w:val="24"/>
              </w:rPr>
              <w:t>).</w:t>
            </w:r>
            <w:r w:rsidR="004230FD">
              <w:rPr>
                <w:rFonts w:cs="Arial"/>
                <w:color w:val="000000" w:themeColor="text1"/>
                <w:szCs w:val="24"/>
              </w:rPr>
              <w:t xml:space="preserve"> Inclusive, de acordo com o espirito da Lei do Petróleo (Art. 29), constantemente monitorando as condições de qualificações do contratado.</w:t>
            </w:r>
          </w:p>
        </w:tc>
      </w:tr>
    </w:tbl>
    <w:p w:rsidR="00764EB1" w:rsidRDefault="00764EB1" w:rsidP="004230FD">
      <w:pPr>
        <w:pStyle w:val="Legenda"/>
        <w:spacing w:line="360" w:lineRule="auto"/>
        <w:rPr>
          <w:rFonts w:cs="Arial"/>
          <w:szCs w:val="24"/>
          <w:u w:val="single"/>
        </w:rPr>
      </w:pPr>
    </w:p>
    <w:p w:rsidR="002442E2" w:rsidRDefault="002442E2" w:rsidP="002442E2"/>
    <w:p w:rsidR="002442E2" w:rsidRDefault="002442E2" w:rsidP="002442E2"/>
    <w:sectPr w:rsidR="002442E2"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4CF" w:rsidRDefault="004474CF" w:rsidP="00842086">
      <w:r>
        <w:separator/>
      </w:r>
    </w:p>
  </w:endnote>
  <w:endnote w:type="continuationSeparator" w:id="0">
    <w:p w:rsidR="004474CF" w:rsidRDefault="004474CF"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2B6CA3">
      <w:rPr>
        <w:noProof/>
      </w:rPr>
      <w:t>8</w:t>
    </w:r>
    <w:r>
      <w:fldChar w:fldCharType="end"/>
    </w:r>
  </w:p>
  <w:p w:rsidR="005C4925" w:rsidRDefault="005C492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883495">
    <w:pPr>
      <w:pStyle w:val="Rodap"/>
      <w:jc w:val="right"/>
    </w:pPr>
    <w:r>
      <w:fldChar w:fldCharType="begin"/>
    </w:r>
    <w:r>
      <w:instrText xml:space="preserve"> PAGE   \* MERGEFORMAT </w:instrText>
    </w:r>
    <w:r>
      <w:fldChar w:fldCharType="separate"/>
    </w:r>
    <w:r w:rsidR="002B6CA3">
      <w:rPr>
        <w:noProof/>
      </w:rPr>
      <w:t>1</w:t>
    </w:r>
    <w:r>
      <w:fldChar w:fldCharType="end"/>
    </w:r>
  </w:p>
  <w:p w:rsidR="005C4925" w:rsidRDefault="005C49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4CF" w:rsidRDefault="004474CF" w:rsidP="00842086">
      <w:r>
        <w:separator/>
      </w:r>
    </w:p>
  </w:footnote>
  <w:footnote w:type="continuationSeparator" w:id="0">
    <w:p w:rsidR="004474CF" w:rsidRDefault="004474CF"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925" w:rsidRDefault="005C4925"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189"/>
      <w:gridCol w:w="6098"/>
    </w:tblGrid>
    <w:tr w:rsidR="003967EB" w:rsidRPr="00B27481" w:rsidTr="003967EB">
      <w:tc>
        <w:tcPr>
          <w:tcW w:w="2866" w:type="pct"/>
          <w:tcBorders>
            <w:top w:val="single" w:sz="4" w:space="0" w:color="808080" w:themeColor="background1" w:themeShade="80"/>
            <w:bottom w:val="single" w:sz="4" w:space="0" w:color="808080" w:themeColor="background1" w:themeShade="80"/>
          </w:tcBorders>
          <w:vAlign w:val="center"/>
        </w:tcPr>
        <w:p w:rsidR="003967EB" w:rsidRPr="0036380F" w:rsidRDefault="00A51516"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511A3F3E" wp14:editId="76F90C4E">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sidR="0072007B">
            <w:rPr>
              <w:rFonts w:ascii="Arial" w:hAnsi="Arial" w:cs="Arial"/>
              <w:noProof/>
              <w:sz w:val="24"/>
              <w:szCs w:val="24"/>
            </w:rPr>
            <w:drawing>
              <wp:inline distT="0" distB="0" distL="0" distR="0" wp14:anchorId="4B5A03EC" wp14:editId="57554AAD">
                <wp:extent cx="2152650" cy="11114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15_Portugues.gif"/>
                        <pic:cNvPicPr/>
                      </pic:nvPicPr>
                      <pic:blipFill>
                        <a:blip r:embed="rId2">
                          <a:extLst>
                            <a:ext uri="{28A0092B-C50C-407E-A947-70E740481C1C}">
                              <a14:useLocalDpi xmlns:a14="http://schemas.microsoft.com/office/drawing/2010/main" val="0"/>
                            </a:ext>
                          </a:extLst>
                        </a:blip>
                        <a:stretch>
                          <a:fillRect/>
                        </a:stretch>
                      </pic:blipFill>
                      <pic:spPr>
                        <a:xfrm>
                          <a:off x="0" y="0"/>
                          <a:ext cx="2186988" cy="1129164"/>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3967EB" w:rsidRPr="00B27481" w:rsidRDefault="003967EB"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sidR="00273B85">
            <w:rPr>
              <w:rFonts w:ascii="Arial" w:hAnsi="Arial" w:cs="Arial"/>
              <w:b/>
              <w:sz w:val="28"/>
              <w:szCs w:val="28"/>
            </w:rPr>
            <w:t>25</w:t>
          </w:r>
          <w:r w:rsidRPr="00B27481">
            <w:rPr>
              <w:rFonts w:ascii="Arial" w:hAnsi="Arial" w:cs="Arial"/>
              <w:b/>
              <w:sz w:val="28"/>
              <w:szCs w:val="28"/>
            </w:rPr>
            <w:t>/201</w:t>
          </w:r>
          <w:r w:rsidR="002A1E27">
            <w:rPr>
              <w:rFonts w:ascii="Arial" w:hAnsi="Arial" w:cs="Arial"/>
              <w:b/>
              <w:sz w:val="28"/>
              <w:szCs w:val="28"/>
            </w:rPr>
            <w:t>7</w:t>
          </w:r>
        </w:p>
        <w:p w:rsidR="003967EB" w:rsidRPr="00B27481" w:rsidRDefault="003967EB"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5C4925" w:rsidRDefault="005C49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61C7E"/>
    <w:rsid w:val="000C0815"/>
    <w:rsid w:val="000C0894"/>
    <w:rsid w:val="000C7F3F"/>
    <w:rsid w:val="000E6393"/>
    <w:rsid w:val="00103946"/>
    <w:rsid w:val="001563CE"/>
    <w:rsid w:val="00193747"/>
    <w:rsid w:val="001965B6"/>
    <w:rsid w:val="001B0976"/>
    <w:rsid w:val="0020756B"/>
    <w:rsid w:val="002158EA"/>
    <w:rsid w:val="0022423B"/>
    <w:rsid w:val="002442E2"/>
    <w:rsid w:val="00256685"/>
    <w:rsid w:val="00264138"/>
    <w:rsid w:val="00273B85"/>
    <w:rsid w:val="002A1E27"/>
    <w:rsid w:val="002B3A43"/>
    <w:rsid w:val="002B6CA3"/>
    <w:rsid w:val="002F6941"/>
    <w:rsid w:val="00300B92"/>
    <w:rsid w:val="00314BDB"/>
    <w:rsid w:val="00323D25"/>
    <w:rsid w:val="00327F69"/>
    <w:rsid w:val="0036380F"/>
    <w:rsid w:val="00377611"/>
    <w:rsid w:val="003967EB"/>
    <w:rsid w:val="003B7B4E"/>
    <w:rsid w:val="003D5BFF"/>
    <w:rsid w:val="003D5D42"/>
    <w:rsid w:val="003D6CBE"/>
    <w:rsid w:val="003E1CF3"/>
    <w:rsid w:val="0040140A"/>
    <w:rsid w:val="00412AA7"/>
    <w:rsid w:val="004230FD"/>
    <w:rsid w:val="004474CF"/>
    <w:rsid w:val="0045478F"/>
    <w:rsid w:val="00471ADB"/>
    <w:rsid w:val="004A005A"/>
    <w:rsid w:val="004B7788"/>
    <w:rsid w:val="004C0021"/>
    <w:rsid w:val="004D421E"/>
    <w:rsid w:val="004F050F"/>
    <w:rsid w:val="004F0B12"/>
    <w:rsid w:val="005600AD"/>
    <w:rsid w:val="0056683F"/>
    <w:rsid w:val="00595F50"/>
    <w:rsid w:val="005A555B"/>
    <w:rsid w:val="005A66BD"/>
    <w:rsid w:val="005B3CEF"/>
    <w:rsid w:val="005B7D75"/>
    <w:rsid w:val="005C4925"/>
    <w:rsid w:val="005C5B4E"/>
    <w:rsid w:val="005D7856"/>
    <w:rsid w:val="005D7DA3"/>
    <w:rsid w:val="005F5F62"/>
    <w:rsid w:val="00605710"/>
    <w:rsid w:val="006071B8"/>
    <w:rsid w:val="00615A71"/>
    <w:rsid w:val="0062557C"/>
    <w:rsid w:val="00664D6E"/>
    <w:rsid w:val="00675939"/>
    <w:rsid w:val="006E3142"/>
    <w:rsid w:val="006E7756"/>
    <w:rsid w:val="006F3664"/>
    <w:rsid w:val="007178AA"/>
    <w:rsid w:val="0072007B"/>
    <w:rsid w:val="0072285E"/>
    <w:rsid w:val="00764EB1"/>
    <w:rsid w:val="007662D7"/>
    <w:rsid w:val="00794DB9"/>
    <w:rsid w:val="007E2560"/>
    <w:rsid w:val="007E72D7"/>
    <w:rsid w:val="007F7936"/>
    <w:rsid w:val="00820EE1"/>
    <w:rsid w:val="0083277E"/>
    <w:rsid w:val="00833C68"/>
    <w:rsid w:val="00842086"/>
    <w:rsid w:val="008500E0"/>
    <w:rsid w:val="00854EE5"/>
    <w:rsid w:val="008675C5"/>
    <w:rsid w:val="00872785"/>
    <w:rsid w:val="00883495"/>
    <w:rsid w:val="008A590E"/>
    <w:rsid w:val="008E7D7F"/>
    <w:rsid w:val="008F1DDE"/>
    <w:rsid w:val="00913328"/>
    <w:rsid w:val="0092578B"/>
    <w:rsid w:val="009271A8"/>
    <w:rsid w:val="00932C2C"/>
    <w:rsid w:val="009403DB"/>
    <w:rsid w:val="00953086"/>
    <w:rsid w:val="0099566E"/>
    <w:rsid w:val="00996C39"/>
    <w:rsid w:val="009B4282"/>
    <w:rsid w:val="00A51516"/>
    <w:rsid w:val="00A621DA"/>
    <w:rsid w:val="00A91CC2"/>
    <w:rsid w:val="00AB2A5D"/>
    <w:rsid w:val="00AB3B7A"/>
    <w:rsid w:val="00AC3176"/>
    <w:rsid w:val="00AC75F7"/>
    <w:rsid w:val="00AC7BE3"/>
    <w:rsid w:val="00AD336C"/>
    <w:rsid w:val="00AE02B1"/>
    <w:rsid w:val="00AE6366"/>
    <w:rsid w:val="00B13EFD"/>
    <w:rsid w:val="00B25C8F"/>
    <w:rsid w:val="00B27481"/>
    <w:rsid w:val="00B40F4C"/>
    <w:rsid w:val="00B43186"/>
    <w:rsid w:val="00BA4C9C"/>
    <w:rsid w:val="00BC1BBC"/>
    <w:rsid w:val="00BE0221"/>
    <w:rsid w:val="00BF7057"/>
    <w:rsid w:val="00C102D5"/>
    <w:rsid w:val="00C11F05"/>
    <w:rsid w:val="00C44A37"/>
    <w:rsid w:val="00C57F32"/>
    <w:rsid w:val="00C85228"/>
    <w:rsid w:val="00C855A3"/>
    <w:rsid w:val="00CA289A"/>
    <w:rsid w:val="00CD29FA"/>
    <w:rsid w:val="00CF02E6"/>
    <w:rsid w:val="00CF2944"/>
    <w:rsid w:val="00D23436"/>
    <w:rsid w:val="00DA2ECC"/>
    <w:rsid w:val="00E05AB8"/>
    <w:rsid w:val="00E34CD2"/>
    <w:rsid w:val="00E548B4"/>
    <w:rsid w:val="00E91A45"/>
    <w:rsid w:val="00EA1DC4"/>
    <w:rsid w:val="00ED28BC"/>
    <w:rsid w:val="00EF4AFC"/>
    <w:rsid w:val="00F14268"/>
    <w:rsid w:val="00F34DFC"/>
    <w:rsid w:val="00F503A5"/>
    <w:rsid w:val="00F63177"/>
    <w:rsid w:val="00F637D7"/>
    <w:rsid w:val="00FA7129"/>
    <w:rsid w:val="00FB37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9D640287-81D8-4CEC-805B-7168D6FF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736854">
      <w:bodyDiv w:val="1"/>
      <w:marLeft w:val="0"/>
      <w:marRight w:val="0"/>
      <w:marTop w:val="0"/>
      <w:marBottom w:val="0"/>
      <w:divBdr>
        <w:top w:val="none" w:sz="0" w:space="0" w:color="auto"/>
        <w:left w:val="none" w:sz="0" w:space="0" w:color="auto"/>
        <w:bottom w:val="none" w:sz="0" w:space="0" w:color="auto"/>
        <w:right w:val="none" w:sz="0" w:space="0" w:color="auto"/>
      </w:divBdr>
      <w:divsChild>
        <w:div w:id="164712068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FF197-0951-4529-BA2A-2FA52E620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1333</Words>
  <Characters>7203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Peçanha</dc:creator>
  <cp:lastModifiedBy>Ana Lúcia</cp:lastModifiedBy>
  <cp:revision>2</cp:revision>
  <cp:lastPrinted>2013-01-24T15:49:00Z</cp:lastPrinted>
  <dcterms:created xsi:type="dcterms:W3CDTF">2017-12-18T22:32:00Z</dcterms:created>
  <dcterms:modified xsi:type="dcterms:W3CDTF">2017-12-18T22:32:00Z</dcterms:modified>
</cp:coreProperties>
</file>